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31C" w:rsidRDefault="00D0431C" w:rsidP="00D0431C">
      <w:pPr>
        <w:keepLines/>
        <w:widowControl w:val="0"/>
        <w:tabs>
          <w:tab w:val="right" w:pos="10440"/>
          <w:tab w:val="right" w:pos="13323"/>
        </w:tabs>
        <w:overflowPunct/>
        <w:autoSpaceDE/>
        <w:adjustRightInd/>
        <w:spacing w:after="0"/>
        <w:rPr>
          <w:rFonts w:ascii="Arial" w:eastAsia="MS Mincho" w:hAnsi="Arial"/>
          <w:b/>
          <w:sz w:val="24"/>
          <w:lang w:val="en-US" w:eastAsia="en-US"/>
        </w:rPr>
      </w:pPr>
      <w:bookmarkStart w:id="0" w:name="Title"/>
      <w:bookmarkStart w:id="1" w:name="DocumentFor"/>
      <w:bookmarkStart w:id="2" w:name="OLE_LINK12"/>
      <w:bookmarkEnd w:id="0"/>
      <w:bookmarkEnd w:id="1"/>
      <w:r>
        <w:rPr>
          <w:rFonts w:ascii="Arial" w:eastAsia="MS Mincho" w:hAnsi="Arial"/>
          <w:b/>
          <w:sz w:val="24"/>
          <w:lang w:val="en-US" w:eastAsia="en-US"/>
        </w:rPr>
        <w:t xml:space="preserve">3GPP TSG-RAN WG4 Meeting # 101-e-Bis </w:t>
      </w:r>
      <w:r>
        <w:rPr>
          <w:rFonts w:ascii="Arial" w:eastAsia="MS Mincho" w:hAnsi="Arial"/>
          <w:b/>
          <w:sz w:val="24"/>
          <w:lang w:val="en-US" w:eastAsia="en-US"/>
        </w:rPr>
        <w:tab/>
      </w:r>
      <w:r w:rsidR="00ED424B" w:rsidRPr="00ED424B">
        <w:rPr>
          <w:rFonts w:ascii="Arial" w:eastAsia="MS Mincho" w:hAnsi="Arial"/>
          <w:b/>
          <w:sz w:val="24"/>
          <w:lang w:val="en-US" w:eastAsia="en-US"/>
        </w:rPr>
        <w:t>R4-2201513</w:t>
      </w:r>
    </w:p>
    <w:p w:rsidR="00D0431C" w:rsidRDefault="00D0431C" w:rsidP="00D0431C">
      <w:pPr>
        <w:widowControl w:val="0"/>
        <w:tabs>
          <w:tab w:val="right" w:pos="9781"/>
          <w:tab w:val="right" w:pos="13323"/>
        </w:tabs>
        <w:overflowPunct/>
        <w:autoSpaceDE/>
        <w:adjustRightInd/>
        <w:spacing w:after="0"/>
        <w:outlineLvl w:val="0"/>
        <w:rPr>
          <w:rFonts w:ascii="Arial" w:eastAsia="MS Mincho" w:hAnsi="Arial"/>
          <w:b/>
          <w:sz w:val="24"/>
          <w:lang w:val="en-US" w:eastAsia="en-US"/>
        </w:rPr>
      </w:pPr>
      <w:r>
        <w:rPr>
          <w:rFonts w:ascii="Arial" w:eastAsia="MS Mincho" w:hAnsi="Arial"/>
          <w:b/>
          <w:sz w:val="24"/>
          <w:lang w:val="en-US" w:eastAsia="en-US"/>
        </w:rPr>
        <w:t>Electronic Meeting, January 17-25, 2022</w:t>
      </w:r>
      <w:bookmarkEnd w:id="2"/>
    </w:p>
    <w:p w:rsidR="00237FCA" w:rsidRPr="009D3032" w:rsidRDefault="00237FCA" w:rsidP="00563F22">
      <w:pPr>
        <w:ind w:left="1985" w:hanging="1985"/>
        <w:rPr>
          <w:rFonts w:ascii="Arial" w:hAnsi="Arial"/>
          <w:b/>
          <w:noProof/>
          <w:sz w:val="24"/>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F34AA2">
        <w:rPr>
          <w:rFonts w:ascii="Arial" w:hAnsi="Arial" w:cs="Arial"/>
        </w:rPr>
        <w:t>Huawei, HiSilicon</w:t>
      </w:r>
    </w:p>
    <w:p w:rsidR="00563F22" w:rsidRPr="005C2410" w:rsidRDefault="00563F22" w:rsidP="00563F22">
      <w:pPr>
        <w:ind w:left="1985" w:hanging="1985"/>
        <w:rPr>
          <w:rFonts w:ascii="Arial" w:hAnsi="Arial" w:cs="Arial"/>
          <w:b/>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171426" w:rsidRPr="00171426">
        <w:rPr>
          <w:rFonts w:ascii="Arial" w:hAnsi="Arial" w:cs="Arial"/>
        </w:rPr>
        <w:t>over</w:t>
      </w:r>
      <w:r w:rsidR="00171426">
        <w:rPr>
          <w:rFonts w:ascii="Arial" w:hAnsi="Arial" w:cs="Arial"/>
        </w:rPr>
        <w:t>all method comparisons</w:t>
      </w:r>
    </w:p>
    <w:p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A3291D">
        <w:rPr>
          <w:rFonts w:ascii="Arial" w:hAnsi="Arial" w:cs="Arial"/>
        </w:rPr>
        <w:t>7</w:t>
      </w:r>
      <w:r w:rsidR="00490DF4" w:rsidRPr="00F34AA2">
        <w:rPr>
          <w:rFonts w:ascii="Arial" w:hAnsi="Arial" w:cs="Arial"/>
        </w:rPr>
        <w:t>.2.</w:t>
      </w:r>
      <w:r w:rsidR="00AB1F07">
        <w:rPr>
          <w:rFonts w:ascii="Arial" w:hAnsi="Arial" w:cs="Arial"/>
        </w:rPr>
        <w:t>3.4</w:t>
      </w:r>
    </w:p>
    <w:p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B47703">
        <w:rPr>
          <w:rFonts w:ascii="Arial" w:hAnsi="Arial" w:cs="Arial"/>
        </w:rPr>
        <w:t>Discussion</w:t>
      </w:r>
    </w:p>
    <w:p w:rsidR="00563F22" w:rsidRDefault="00946331" w:rsidP="00563F22">
      <w:pPr>
        <w:pStyle w:val="1"/>
        <w:tabs>
          <w:tab w:val="num" w:pos="397"/>
        </w:tabs>
        <w:ind w:left="533" w:hanging="533"/>
      </w:pPr>
      <w:r>
        <w:t xml:space="preserve">1 </w:t>
      </w:r>
      <w:r w:rsidR="00563F22">
        <w:rPr>
          <w:rFonts w:hint="eastAsia"/>
        </w:rPr>
        <w:t>Introduction</w:t>
      </w:r>
    </w:p>
    <w:p w:rsidR="009D3032" w:rsidRPr="00284B2F" w:rsidRDefault="00AB1F07" w:rsidP="00171426">
      <w:pPr>
        <w:spacing w:before="120"/>
        <w:rPr>
          <w:lang w:eastAsia="ko-KR"/>
        </w:rPr>
      </w:pPr>
      <w:r>
        <w:t>A</w:t>
      </w:r>
      <w:r w:rsidR="00462611">
        <w:t xml:space="preserve"> new SI </w:t>
      </w:r>
      <w:r>
        <w:t>[1]</w:t>
      </w:r>
      <w:r w:rsidR="00171426">
        <w:t xml:space="preserve"> </w:t>
      </w:r>
      <w:r w:rsidR="00462611">
        <w:t>has been approved on efficient utilization of licensed spectrum that is not aligned with existing NR channel bandwidths.</w:t>
      </w:r>
      <w:r w:rsidR="00DB37D4">
        <w:t xml:space="preserve"> </w:t>
      </w:r>
      <w:r w:rsidR="00171426">
        <w:t>There are four methods being discussed in previous meetings.</w:t>
      </w:r>
    </w:p>
    <w:p w:rsidR="00DB688D" w:rsidRPr="00DB688D" w:rsidRDefault="00DB688D" w:rsidP="005D46E8">
      <w:pPr>
        <w:spacing w:before="120"/>
      </w:pPr>
      <w:r>
        <w:t>In the contribution, we provid</w:t>
      </w:r>
      <w:r w:rsidR="00DB37D4">
        <w:t>e</w:t>
      </w:r>
      <w:r w:rsidR="00171426">
        <w:t xml:space="preserve"> overall </w:t>
      </w:r>
      <w:r w:rsidR="00056FA7">
        <w:t>comparisons on the four methods.</w:t>
      </w:r>
    </w:p>
    <w:p w:rsidR="00DB37D4" w:rsidRDefault="00946331" w:rsidP="00DB37D4">
      <w:pPr>
        <w:pStyle w:val="1"/>
        <w:tabs>
          <w:tab w:val="num" w:pos="397"/>
        </w:tabs>
        <w:ind w:left="533" w:hanging="533"/>
      </w:pPr>
      <w:r>
        <w:t xml:space="preserve">2 </w:t>
      </w:r>
      <w:r w:rsidR="00E407EA">
        <w:t>Discussion</w:t>
      </w:r>
    </w:p>
    <w:p w:rsidR="00056FA7" w:rsidRDefault="00C435E6" w:rsidP="003D4A9C">
      <w:r>
        <w:t>We take 13 MHz as an example, a summary on the four methods can be found in the following table.</w:t>
      </w:r>
    </w:p>
    <w:p w:rsidR="00C435E6" w:rsidRDefault="00C435E6" w:rsidP="002878E1">
      <w:pPr>
        <w:jc w:val="center"/>
      </w:pPr>
      <w:r w:rsidRPr="002878E1">
        <w:rPr>
          <w:rFonts w:hint="eastAsia"/>
          <w:b/>
        </w:rPr>
        <w:t>T</w:t>
      </w:r>
      <w:r w:rsidRPr="002878E1">
        <w:rPr>
          <w:b/>
        </w:rPr>
        <w:t>able 2-1</w:t>
      </w:r>
      <w:r w:rsidR="002878E1">
        <w:t xml:space="preserve"> </w:t>
      </w:r>
      <w:r w:rsidR="002878E1" w:rsidRPr="00164028">
        <w:rPr>
          <w:b/>
        </w:rPr>
        <w:t>summary on the options for irregular channel bandwidth</w:t>
      </w:r>
    </w:p>
    <w:tbl>
      <w:tblPr>
        <w:tblpPr w:leftFromText="180" w:rightFromText="180" w:vertAnchor="text" w:horzAnchor="margin" w:tblpXSpec="center" w:tblpY="-39"/>
        <w:tblW w:w="10065" w:type="dxa"/>
        <w:tblCellMar>
          <w:left w:w="0" w:type="dxa"/>
          <w:right w:w="0" w:type="dxa"/>
        </w:tblCellMar>
        <w:tblLook w:val="04A0" w:firstRow="1" w:lastRow="0" w:firstColumn="1" w:lastColumn="0" w:noHBand="0" w:noVBand="1"/>
      </w:tblPr>
      <w:tblGrid>
        <w:gridCol w:w="1560"/>
        <w:gridCol w:w="2126"/>
        <w:gridCol w:w="2410"/>
        <w:gridCol w:w="2126"/>
        <w:gridCol w:w="1843"/>
      </w:tblGrid>
      <w:tr w:rsidR="002878E1" w:rsidRPr="00056FA7" w:rsidTr="002878E1">
        <w:trPr>
          <w:trHeight w:val="594"/>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78E1" w:rsidRPr="00056FA7" w:rsidRDefault="002878E1" w:rsidP="002878E1">
            <w:pPr>
              <w:overflowPunct/>
              <w:autoSpaceDE/>
              <w:autoSpaceDN/>
              <w:adjustRightInd/>
              <w:spacing w:line="240" w:lineRule="exact"/>
              <w:textAlignment w:val="auto"/>
              <w:rPr>
                <w:rFonts w:ascii="Arial" w:hAnsi="Arial" w:cs="Arial"/>
                <w:sz w:val="16"/>
                <w:szCs w:val="16"/>
                <w:lang w:val="en-US"/>
              </w:rPr>
            </w:pPr>
            <w:r w:rsidRPr="00056FA7">
              <w:rPr>
                <w:rFonts w:ascii="Arial" w:hAnsi="Arial" w:cs="Arial"/>
                <w:color w:val="000000"/>
                <w:kern w:val="24"/>
                <w:sz w:val="16"/>
                <w:szCs w:val="16"/>
                <w:lang w:val="en-US"/>
              </w:rPr>
              <w:lastRenderedPageBreak/>
              <w:t> </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78E1" w:rsidRPr="00056FA7" w:rsidRDefault="002878E1" w:rsidP="002878E1">
            <w:pPr>
              <w:overflowPunct/>
              <w:autoSpaceDE/>
              <w:autoSpaceDN/>
              <w:adjustRightInd/>
              <w:spacing w:before="360" w:after="0"/>
              <w:jc w:val="center"/>
              <w:textAlignment w:val="auto"/>
              <w:rPr>
                <w:rFonts w:ascii="Arial" w:hAnsi="Arial" w:cs="Arial"/>
                <w:sz w:val="16"/>
                <w:szCs w:val="16"/>
                <w:lang w:val="en-US"/>
              </w:rPr>
            </w:pPr>
            <w:r w:rsidRPr="00056FA7">
              <w:rPr>
                <w:rFonts w:ascii="Arial" w:hAnsi="Arial" w:cs="Arial"/>
                <w:b/>
                <w:bCs/>
                <w:color w:val="000000"/>
                <w:kern w:val="24"/>
                <w:sz w:val="16"/>
                <w:szCs w:val="16"/>
                <w:lang w:val="en-US"/>
              </w:rPr>
              <w:t xml:space="preserve">Option1: </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78E1" w:rsidRPr="00056FA7" w:rsidRDefault="002878E1" w:rsidP="002878E1">
            <w:pPr>
              <w:overflowPunct/>
              <w:autoSpaceDE/>
              <w:autoSpaceDN/>
              <w:adjustRightInd/>
              <w:spacing w:before="360" w:after="0"/>
              <w:jc w:val="center"/>
              <w:textAlignment w:val="auto"/>
              <w:rPr>
                <w:rFonts w:ascii="Arial" w:hAnsi="Arial" w:cs="Arial"/>
                <w:sz w:val="16"/>
                <w:szCs w:val="16"/>
                <w:lang w:val="en-US"/>
              </w:rPr>
            </w:pPr>
            <w:r w:rsidRPr="00056FA7">
              <w:rPr>
                <w:rFonts w:ascii="Arial" w:hAnsi="Arial" w:cs="Arial"/>
                <w:b/>
                <w:bCs/>
                <w:color w:val="000000"/>
                <w:kern w:val="24"/>
                <w:sz w:val="16"/>
                <w:szCs w:val="16"/>
                <w:lang w:val="en-US"/>
              </w:rPr>
              <w:t xml:space="preserve">Option2: </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78E1" w:rsidRPr="00056FA7" w:rsidRDefault="002878E1" w:rsidP="002878E1">
            <w:pPr>
              <w:overflowPunct/>
              <w:autoSpaceDE/>
              <w:autoSpaceDN/>
              <w:adjustRightInd/>
              <w:spacing w:before="360" w:after="0"/>
              <w:jc w:val="center"/>
              <w:textAlignment w:val="auto"/>
              <w:rPr>
                <w:rFonts w:ascii="Arial" w:hAnsi="Arial" w:cs="Arial"/>
                <w:sz w:val="16"/>
                <w:szCs w:val="16"/>
                <w:lang w:val="en-US"/>
              </w:rPr>
            </w:pPr>
            <w:r w:rsidRPr="00056FA7">
              <w:rPr>
                <w:rFonts w:ascii="Arial" w:hAnsi="Arial" w:cs="Arial"/>
                <w:b/>
                <w:bCs/>
                <w:color w:val="000000"/>
                <w:kern w:val="24"/>
                <w:sz w:val="16"/>
                <w:szCs w:val="16"/>
                <w:lang w:val="en-US"/>
              </w:rPr>
              <w:t xml:space="preserve">Option 3: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78E1" w:rsidRPr="00056FA7" w:rsidRDefault="002878E1" w:rsidP="002878E1">
            <w:pPr>
              <w:overflowPunct/>
              <w:autoSpaceDE/>
              <w:autoSpaceDN/>
              <w:adjustRightInd/>
              <w:spacing w:before="360" w:after="0"/>
              <w:jc w:val="center"/>
              <w:textAlignment w:val="auto"/>
              <w:rPr>
                <w:rFonts w:ascii="Arial" w:hAnsi="Arial" w:cs="Arial"/>
                <w:sz w:val="16"/>
                <w:szCs w:val="16"/>
                <w:lang w:val="en-US"/>
              </w:rPr>
            </w:pPr>
            <w:r w:rsidRPr="00056FA7">
              <w:rPr>
                <w:rFonts w:ascii="Arial" w:hAnsi="Arial" w:cs="Arial"/>
                <w:b/>
                <w:bCs/>
                <w:color w:val="000000"/>
                <w:kern w:val="24"/>
                <w:sz w:val="16"/>
                <w:szCs w:val="16"/>
                <w:lang w:val="en-US"/>
              </w:rPr>
              <w:t xml:space="preserve">Option 4: </w:t>
            </w:r>
          </w:p>
        </w:tc>
      </w:tr>
      <w:tr w:rsidR="002878E1" w:rsidRPr="00056FA7" w:rsidTr="002878E1">
        <w:trPr>
          <w:trHeight w:val="594"/>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878E1" w:rsidRPr="0038655F" w:rsidRDefault="002878E1" w:rsidP="002878E1">
            <w:pPr>
              <w:overflowPunct/>
              <w:autoSpaceDE/>
              <w:autoSpaceDN/>
              <w:adjustRightInd/>
              <w:spacing w:line="240" w:lineRule="exact"/>
              <w:textAlignment w:val="auto"/>
              <w:rPr>
                <w:rFonts w:ascii="Arial" w:hAnsi="Arial" w:cs="Arial"/>
                <w:b/>
                <w:color w:val="000000"/>
                <w:kern w:val="24"/>
                <w:sz w:val="16"/>
                <w:szCs w:val="16"/>
                <w:lang w:val="en-US"/>
              </w:rPr>
            </w:pPr>
            <w:r w:rsidRPr="0038655F">
              <w:rPr>
                <w:rFonts w:ascii="Arial" w:hAnsi="Arial" w:cs="Arial" w:hint="eastAsia"/>
                <w:b/>
                <w:color w:val="000000"/>
                <w:kern w:val="24"/>
                <w:sz w:val="16"/>
                <w:szCs w:val="16"/>
                <w:lang w:val="en-US"/>
              </w:rPr>
              <w:t>S</w:t>
            </w:r>
            <w:r w:rsidRPr="0038655F">
              <w:rPr>
                <w:rFonts w:ascii="Arial" w:hAnsi="Arial" w:cs="Arial"/>
                <w:b/>
                <w:color w:val="000000"/>
                <w:kern w:val="24"/>
                <w:sz w:val="16"/>
                <w:szCs w:val="16"/>
                <w:lang w:val="en-US"/>
              </w:rPr>
              <w:t>olutions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878E1" w:rsidRPr="0038655F" w:rsidRDefault="002878E1" w:rsidP="002878E1">
            <w:pPr>
              <w:overflowPunct/>
              <w:autoSpaceDE/>
              <w:autoSpaceDN/>
              <w:adjustRightInd/>
              <w:spacing w:before="360" w:after="0"/>
              <w:textAlignment w:val="auto"/>
              <w:rPr>
                <w:rFonts w:ascii="Arial" w:hAnsi="Arial" w:cs="Arial"/>
                <w:bCs/>
                <w:color w:val="000000"/>
                <w:kern w:val="24"/>
                <w:sz w:val="16"/>
                <w:szCs w:val="16"/>
                <w:lang w:val="en-US"/>
              </w:rPr>
            </w:pPr>
            <w:r w:rsidRPr="00056FA7">
              <w:rPr>
                <w:rFonts w:ascii="Arial" w:hAnsi="Arial" w:cs="Arial"/>
                <w:bCs/>
                <w:color w:val="000000"/>
                <w:kern w:val="24"/>
                <w:sz w:val="16"/>
                <w:szCs w:val="16"/>
                <w:lang w:val="en-US"/>
              </w:rPr>
              <w:t>Wider CBW</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878E1" w:rsidRPr="0038655F" w:rsidRDefault="002878E1" w:rsidP="002878E1">
            <w:pPr>
              <w:overflowPunct/>
              <w:autoSpaceDE/>
              <w:autoSpaceDN/>
              <w:adjustRightInd/>
              <w:spacing w:before="360" w:after="0"/>
              <w:textAlignment w:val="auto"/>
              <w:rPr>
                <w:rFonts w:ascii="Arial" w:hAnsi="Arial" w:cs="Arial"/>
                <w:bCs/>
                <w:color w:val="000000"/>
                <w:kern w:val="24"/>
                <w:sz w:val="16"/>
                <w:szCs w:val="16"/>
                <w:lang w:val="en-US"/>
              </w:rPr>
            </w:pPr>
            <w:r w:rsidRPr="00056FA7">
              <w:rPr>
                <w:rFonts w:ascii="Arial" w:hAnsi="Arial" w:cs="Arial"/>
                <w:bCs/>
                <w:color w:val="000000"/>
                <w:kern w:val="24"/>
                <w:sz w:val="16"/>
                <w:szCs w:val="16"/>
                <w:lang w:val="en-US"/>
              </w:rPr>
              <w:t xml:space="preserve">Overlapping CBWs from network perspective </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878E1" w:rsidRPr="0038655F" w:rsidRDefault="002878E1" w:rsidP="002878E1">
            <w:pPr>
              <w:overflowPunct/>
              <w:autoSpaceDE/>
              <w:autoSpaceDN/>
              <w:adjustRightInd/>
              <w:spacing w:before="360" w:after="0"/>
              <w:textAlignment w:val="auto"/>
              <w:rPr>
                <w:rFonts w:ascii="Arial" w:hAnsi="Arial" w:cs="Arial"/>
                <w:bCs/>
                <w:color w:val="000000"/>
                <w:kern w:val="24"/>
                <w:sz w:val="16"/>
                <w:szCs w:val="16"/>
                <w:lang w:val="en-US"/>
              </w:rPr>
            </w:pPr>
            <w:r w:rsidRPr="00056FA7">
              <w:rPr>
                <w:rFonts w:ascii="Arial" w:hAnsi="Arial" w:cs="Arial"/>
                <w:bCs/>
                <w:color w:val="000000"/>
                <w:kern w:val="24"/>
                <w:sz w:val="16"/>
                <w:szCs w:val="16"/>
                <w:lang w:val="en-US"/>
              </w:rPr>
              <w:t>Overlapping CBWs</w:t>
            </w:r>
            <w:r>
              <w:rPr>
                <w:rFonts w:ascii="Arial" w:hAnsi="Arial" w:cs="Arial"/>
                <w:bCs/>
                <w:color w:val="000000"/>
                <w:kern w:val="24"/>
                <w:sz w:val="16"/>
                <w:szCs w:val="16"/>
                <w:lang w:val="en-US"/>
              </w:rPr>
              <w:t xml:space="preserve"> from UE perspective (two cell/</w:t>
            </w:r>
            <w:r w:rsidRPr="00056FA7">
              <w:rPr>
                <w:rFonts w:ascii="Arial" w:hAnsi="Arial" w:cs="Arial"/>
                <w:bCs/>
                <w:color w:val="000000"/>
                <w:kern w:val="24"/>
                <w:sz w:val="16"/>
                <w:szCs w:val="16"/>
                <w:lang w:val="en-US"/>
              </w:rPr>
              <w:t>CA approach)</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878E1" w:rsidRPr="0038655F" w:rsidRDefault="002878E1" w:rsidP="002878E1">
            <w:pPr>
              <w:overflowPunct/>
              <w:autoSpaceDE/>
              <w:autoSpaceDN/>
              <w:adjustRightInd/>
              <w:spacing w:before="360" w:after="0"/>
              <w:textAlignment w:val="auto"/>
              <w:rPr>
                <w:rFonts w:ascii="Arial" w:hAnsi="Arial" w:cs="Arial"/>
                <w:bCs/>
                <w:color w:val="000000"/>
                <w:kern w:val="24"/>
                <w:sz w:val="16"/>
                <w:szCs w:val="16"/>
                <w:lang w:val="en-US"/>
              </w:rPr>
            </w:pPr>
            <w:r w:rsidRPr="00056FA7">
              <w:rPr>
                <w:rFonts w:ascii="Arial" w:hAnsi="Arial" w:cs="Arial"/>
                <w:bCs/>
                <w:color w:val="000000"/>
                <w:kern w:val="24"/>
                <w:sz w:val="16"/>
                <w:szCs w:val="16"/>
                <w:lang w:val="en-US"/>
              </w:rPr>
              <w:t>Overlapping CBWs from UE perspective (one cell approach)</w:t>
            </w:r>
          </w:p>
        </w:tc>
      </w:tr>
      <w:tr w:rsidR="002878E1" w:rsidRPr="00056FA7" w:rsidTr="002878E1">
        <w:trPr>
          <w:trHeight w:val="594"/>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78E1" w:rsidRPr="00056FA7" w:rsidRDefault="002878E1" w:rsidP="002878E1">
            <w:pPr>
              <w:overflowPunct/>
              <w:autoSpaceDE/>
              <w:autoSpaceDN/>
              <w:adjustRightInd/>
              <w:spacing w:after="0"/>
              <w:textAlignment w:val="auto"/>
              <w:rPr>
                <w:rFonts w:ascii="Arial" w:hAnsi="Arial" w:cs="Arial"/>
                <w:sz w:val="16"/>
                <w:szCs w:val="16"/>
                <w:lang w:val="en-US"/>
              </w:rPr>
            </w:pPr>
            <w:r>
              <w:rPr>
                <w:rFonts w:ascii="Arial" w:hAnsi="Arial" w:cs="Arial"/>
                <w:b/>
                <w:bCs/>
                <w:color w:val="000000"/>
                <w:kern w:val="24"/>
                <w:sz w:val="16"/>
                <w:szCs w:val="16"/>
                <w:lang w:val="en-US"/>
              </w:rPr>
              <w:t># of cell</w:t>
            </w:r>
            <w:r w:rsidRPr="00056FA7">
              <w:rPr>
                <w:rFonts w:ascii="Arial" w:hAnsi="Arial" w:cs="Arial"/>
                <w:b/>
                <w:bCs/>
                <w:color w:val="000000"/>
                <w:kern w:val="24"/>
                <w:sz w:val="16"/>
                <w:szCs w:val="16"/>
                <w:lang w:val="en-US"/>
              </w:rPr>
              <w:t xml:space="preserve"> per UE/gNB </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78E1" w:rsidRPr="00056FA7" w:rsidRDefault="002878E1" w:rsidP="002878E1">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 xml:space="preserve">1 </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78E1" w:rsidRPr="00056FA7" w:rsidRDefault="002878E1" w:rsidP="002878E1">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1</w:t>
            </w:r>
            <w:r>
              <w:rPr>
                <w:rFonts w:ascii="Arial" w:hAnsi="Arial" w:cs="Arial"/>
                <w:color w:val="000000"/>
                <w:kern w:val="24"/>
                <w:sz w:val="16"/>
                <w:szCs w:val="16"/>
                <w:lang w:val="en-US"/>
              </w:rPr>
              <w:t xml:space="preserve"> or 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78E1" w:rsidRPr="00056FA7" w:rsidRDefault="002878E1" w:rsidP="002878E1">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2</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78E1" w:rsidRPr="00056FA7" w:rsidRDefault="002878E1" w:rsidP="002878E1">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1</w:t>
            </w:r>
          </w:p>
        </w:tc>
      </w:tr>
      <w:tr w:rsidR="00AE5F59" w:rsidRPr="00056FA7" w:rsidTr="002878E1">
        <w:trPr>
          <w:trHeight w:val="594"/>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5F59" w:rsidRDefault="00AE5F59" w:rsidP="002878E1">
            <w:pPr>
              <w:overflowPunct/>
              <w:autoSpaceDE/>
              <w:autoSpaceDN/>
              <w:adjustRightInd/>
              <w:spacing w:after="0"/>
              <w:textAlignment w:val="auto"/>
              <w:rPr>
                <w:rFonts w:ascii="Arial" w:hAnsi="Arial" w:cs="Arial"/>
                <w:b/>
                <w:bCs/>
                <w:color w:val="000000"/>
                <w:kern w:val="24"/>
                <w:sz w:val="16"/>
                <w:szCs w:val="16"/>
                <w:lang w:val="en-US"/>
              </w:rPr>
            </w:pPr>
            <w:r>
              <w:rPr>
                <w:rFonts w:ascii="Arial" w:hAnsi="Arial" w:cs="Arial"/>
                <w:b/>
                <w:bCs/>
                <w:color w:val="000000"/>
                <w:kern w:val="24"/>
                <w:sz w:val="16"/>
                <w:szCs w:val="16"/>
                <w:lang w:val="en-US"/>
              </w:rPr>
              <w:t># of SSB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5F59" w:rsidRPr="00056FA7" w:rsidRDefault="00AE5F59" w:rsidP="002878E1">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hint="eastAsia"/>
                <w:color w:val="000000"/>
                <w:kern w:val="24"/>
                <w:sz w:val="16"/>
                <w:szCs w:val="16"/>
                <w:lang w:val="en-US"/>
              </w:rPr>
              <w:t>1</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5F59" w:rsidRPr="00056FA7" w:rsidRDefault="00AE5F59" w:rsidP="002878E1">
            <w:pPr>
              <w:overflowPunct/>
              <w:autoSpaceDE/>
              <w:autoSpaceDN/>
              <w:adjustRightInd/>
              <w:spacing w:after="0"/>
              <w:textAlignment w:val="auto"/>
              <w:rPr>
                <w:rFonts w:ascii="Arial" w:hAnsi="Arial" w:cs="Arial"/>
                <w:color w:val="000000"/>
                <w:kern w:val="24"/>
                <w:sz w:val="16"/>
                <w:szCs w:val="16"/>
                <w:lang w:val="en-US"/>
              </w:rPr>
            </w:pPr>
            <w:r w:rsidRPr="00056FA7">
              <w:rPr>
                <w:rFonts w:ascii="Arial" w:hAnsi="Arial" w:cs="Arial"/>
                <w:color w:val="000000"/>
                <w:kern w:val="24"/>
                <w:sz w:val="16"/>
                <w:szCs w:val="16"/>
                <w:lang w:val="en-US"/>
              </w:rPr>
              <w:t>1</w:t>
            </w:r>
            <w:r>
              <w:rPr>
                <w:rFonts w:ascii="Arial" w:hAnsi="Arial" w:cs="Arial"/>
                <w:color w:val="000000"/>
                <w:kern w:val="24"/>
                <w:sz w:val="16"/>
                <w:szCs w:val="16"/>
                <w:lang w:val="en-US"/>
              </w:rPr>
              <w:t xml:space="preserve"> or 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5F59" w:rsidRPr="00056FA7" w:rsidRDefault="00AE5F59" w:rsidP="002878E1">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hint="eastAsia"/>
                <w:color w:val="000000"/>
                <w:kern w:val="24"/>
                <w:sz w:val="16"/>
                <w:szCs w:val="16"/>
                <w:lang w:val="en-US"/>
              </w:rPr>
              <w:t>2</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5F59" w:rsidRPr="00056FA7" w:rsidRDefault="00AE5F59" w:rsidP="002878E1">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hint="eastAsia"/>
                <w:color w:val="000000"/>
                <w:kern w:val="24"/>
                <w:sz w:val="16"/>
                <w:szCs w:val="16"/>
                <w:lang w:val="en-US"/>
              </w:rPr>
              <w:t>1</w:t>
            </w:r>
          </w:p>
        </w:tc>
      </w:tr>
      <w:tr w:rsidR="00AE5F59" w:rsidRPr="00056FA7" w:rsidTr="002878E1">
        <w:trPr>
          <w:trHeight w:val="594"/>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5F59" w:rsidRPr="00056FA7" w:rsidRDefault="00AE5F59" w:rsidP="00AE5F59">
            <w:pPr>
              <w:overflowPunct/>
              <w:autoSpaceDE/>
              <w:autoSpaceDN/>
              <w:adjustRightInd/>
              <w:spacing w:after="0"/>
              <w:textAlignment w:val="auto"/>
              <w:rPr>
                <w:rFonts w:ascii="Arial" w:hAnsi="Arial" w:cs="Arial"/>
                <w:b/>
                <w:bCs/>
                <w:color w:val="000000"/>
                <w:kern w:val="24"/>
                <w:sz w:val="16"/>
                <w:szCs w:val="16"/>
                <w:lang w:val="en-US"/>
              </w:rPr>
            </w:pPr>
            <w:r>
              <w:rPr>
                <w:rFonts w:ascii="Arial" w:hAnsi="Arial" w:cs="Arial"/>
                <w:b/>
                <w:bCs/>
                <w:color w:val="000000"/>
                <w:kern w:val="24"/>
                <w:sz w:val="16"/>
                <w:szCs w:val="16"/>
                <w:lang w:val="en-US"/>
              </w:rPr>
              <w:t>UE Supports overall spectrum in DL</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5F59" w:rsidRPr="00056FA7" w:rsidRDefault="00AE5F59" w:rsidP="00AE5F59">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color w:val="000000"/>
                <w:kern w:val="24"/>
                <w:sz w:val="16"/>
                <w:szCs w:val="16"/>
                <w:lang w:val="en-US"/>
              </w:rPr>
              <w:t>Yes</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5F59" w:rsidRPr="00056FA7" w:rsidRDefault="00AE5F59" w:rsidP="00AE5F59">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color w:val="000000"/>
                <w:kern w:val="24"/>
                <w:sz w:val="16"/>
                <w:szCs w:val="16"/>
                <w:lang w:val="en-US"/>
              </w:rPr>
              <w:t>No</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5F59" w:rsidRPr="00056FA7" w:rsidRDefault="00AE5F59" w:rsidP="00AE5F59">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color w:val="000000"/>
                <w:kern w:val="24"/>
                <w:sz w:val="16"/>
                <w:szCs w:val="16"/>
                <w:lang w:val="en-US"/>
              </w:rPr>
              <w:t>Yes</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5F59" w:rsidRPr="00056FA7" w:rsidRDefault="00AE5F59" w:rsidP="00AE5F59">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hint="eastAsia"/>
                <w:color w:val="000000"/>
                <w:kern w:val="24"/>
                <w:sz w:val="16"/>
                <w:szCs w:val="16"/>
                <w:lang w:val="en-US"/>
              </w:rPr>
              <w:t>Y</w:t>
            </w:r>
            <w:r>
              <w:rPr>
                <w:rFonts w:ascii="Arial" w:hAnsi="Arial" w:cs="Arial"/>
                <w:color w:val="000000"/>
                <w:kern w:val="24"/>
                <w:sz w:val="16"/>
                <w:szCs w:val="16"/>
                <w:lang w:val="en-US"/>
              </w:rPr>
              <w:t>es</w:t>
            </w:r>
          </w:p>
        </w:tc>
      </w:tr>
      <w:tr w:rsidR="00AE5F59" w:rsidRPr="00056FA7" w:rsidTr="002878E1">
        <w:trPr>
          <w:trHeight w:val="594"/>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5F59" w:rsidRPr="00056FA7" w:rsidRDefault="00AE5F59"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b/>
                <w:bCs/>
                <w:color w:val="000000"/>
                <w:kern w:val="24"/>
                <w:sz w:val="16"/>
                <w:szCs w:val="16"/>
                <w:lang w:val="en-US"/>
              </w:rPr>
              <w:t>Support of legacy UE</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5F59" w:rsidRPr="00056FA7" w:rsidRDefault="00AE5F59"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Yes</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5F59" w:rsidRPr="00056FA7" w:rsidRDefault="00AE5F59"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Yes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5F59" w:rsidRPr="00056FA7" w:rsidRDefault="00AE5F59"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Yes</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5F59" w:rsidRPr="00056FA7" w:rsidRDefault="00AE5F59"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Yes</w:t>
            </w:r>
          </w:p>
        </w:tc>
      </w:tr>
      <w:tr w:rsidR="00CB5491" w:rsidRPr="00056FA7" w:rsidTr="002878E1">
        <w:trPr>
          <w:trHeight w:val="594"/>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491" w:rsidRPr="00056FA7" w:rsidRDefault="00CB5491" w:rsidP="00AE5F59">
            <w:pPr>
              <w:overflowPunct/>
              <w:autoSpaceDE/>
              <w:autoSpaceDN/>
              <w:adjustRightInd/>
              <w:spacing w:after="0"/>
              <w:textAlignment w:val="auto"/>
              <w:rPr>
                <w:rFonts w:ascii="Arial" w:hAnsi="Arial" w:cs="Arial"/>
                <w:b/>
                <w:bCs/>
                <w:color w:val="000000"/>
                <w:kern w:val="24"/>
                <w:sz w:val="16"/>
                <w:szCs w:val="16"/>
                <w:lang w:val="en-US"/>
              </w:rPr>
            </w:pPr>
            <w:r>
              <w:rPr>
                <w:rFonts w:ascii="Arial" w:hAnsi="Arial" w:cs="Arial"/>
                <w:b/>
                <w:bCs/>
                <w:color w:val="000000"/>
                <w:kern w:val="24"/>
                <w:sz w:val="16"/>
                <w:szCs w:val="16"/>
                <w:lang w:val="en-US"/>
              </w:rPr>
              <w:t>Specific limitations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491" w:rsidRDefault="00CB5491" w:rsidP="00CB5491">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color w:val="000000"/>
                <w:kern w:val="24"/>
                <w:sz w:val="16"/>
                <w:szCs w:val="16"/>
                <w:lang w:val="en-US"/>
              </w:rPr>
              <w:t xml:space="preserve">Works for to co-location case. </w:t>
            </w:r>
          </w:p>
          <w:p w:rsidR="00CB5491" w:rsidRPr="00056FA7" w:rsidRDefault="00CB5491" w:rsidP="00CB5491">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color w:val="000000"/>
                <w:kern w:val="24"/>
                <w:sz w:val="16"/>
                <w:szCs w:val="16"/>
                <w:lang w:val="en-US"/>
              </w:rPr>
              <w:t>For non-colocation case, it will be left to implementation.</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491" w:rsidRPr="00056FA7" w:rsidRDefault="00CB5491" w:rsidP="00CB5491">
            <w:pPr>
              <w:overflowPunct/>
              <w:autoSpaceDE/>
              <w:autoSpaceDN/>
              <w:adjustRightInd/>
              <w:spacing w:after="0"/>
              <w:textAlignment w:val="auto"/>
              <w:rPr>
                <w:rFonts w:ascii="Arial" w:hAnsi="Arial" w:cs="Arial"/>
                <w:sz w:val="16"/>
                <w:szCs w:val="16"/>
                <w:lang w:val="en-US"/>
              </w:rPr>
            </w:pPr>
            <w:r w:rsidRPr="00056FA7">
              <w:rPr>
                <w:rFonts w:ascii="Arial" w:hAnsi="Arial" w:cs="Arial"/>
                <w:bCs/>
                <w:color w:val="000000"/>
                <w:kern w:val="24"/>
                <w:sz w:val="16"/>
                <w:szCs w:val="16"/>
                <w:lang w:val="en-US"/>
              </w:rPr>
              <w:t>A UE can only use partial spectrum, i.e., 10MHz</w:t>
            </w:r>
            <w:r>
              <w:rPr>
                <w:rFonts w:ascii="Arial" w:hAnsi="Arial" w:cs="Arial"/>
                <w:bCs/>
                <w:color w:val="000000"/>
                <w:kern w:val="24"/>
                <w:sz w:val="16"/>
                <w:szCs w:val="16"/>
                <w:lang w:val="en-US"/>
              </w:rPr>
              <w:t>;</w:t>
            </w:r>
          </w:p>
          <w:p w:rsidR="00CB5491" w:rsidRPr="00056FA7" w:rsidRDefault="00CB5491" w:rsidP="00CB5491">
            <w:pPr>
              <w:overflowPunct/>
              <w:autoSpaceDE/>
              <w:autoSpaceDN/>
              <w:adjustRightInd/>
              <w:spacing w:after="0"/>
              <w:textAlignment w:val="auto"/>
              <w:rPr>
                <w:rFonts w:ascii="Arial" w:hAnsi="Arial" w:cs="Arial"/>
                <w:color w:val="000000"/>
                <w:kern w:val="24"/>
                <w:sz w:val="16"/>
                <w:szCs w:val="16"/>
                <w:lang w:val="en-US"/>
              </w:rPr>
            </w:pPr>
            <w:r w:rsidRPr="00056FA7">
              <w:rPr>
                <w:rFonts w:ascii="Arial" w:hAnsi="Arial" w:cs="Arial"/>
                <w:color w:val="000000"/>
                <w:kern w:val="24"/>
                <w:sz w:val="16"/>
                <w:szCs w:val="16"/>
                <w:lang w:val="en-US"/>
              </w:rPr>
              <w:t>Two legacy SSB needed for &lt;10MHz case</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491" w:rsidRPr="00056FA7" w:rsidRDefault="00CB5491" w:rsidP="00AE5F59">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color w:val="000000"/>
                <w:kern w:val="24"/>
                <w:sz w:val="16"/>
                <w:szCs w:val="16"/>
                <w:lang w:val="en-US"/>
              </w:rPr>
              <w:t xml:space="preserve">New </w:t>
            </w:r>
            <w:r w:rsidRPr="00056FA7">
              <w:rPr>
                <w:rFonts w:ascii="Arial" w:hAnsi="Arial" w:cs="Arial"/>
                <w:color w:val="000000"/>
                <w:kern w:val="24"/>
                <w:sz w:val="16"/>
                <w:szCs w:val="16"/>
                <w:lang w:val="en-US"/>
              </w:rPr>
              <w:t>UE need to support NC CA</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491" w:rsidRPr="00056FA7" w:rsidRDefault="00CB5491" w:rsidP="00AE5F59">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color w:val="000000"/>
                <w:kern w:val="24"/>
                <w:sz w:val="16"/>
                <w:szCs w:val="16"/>
                <w:lang w:val="en-US"/>
              </w:rPr>
              <w:t xml:space="preserve">New </w:t>
            </w:r>
            <w:r w:rsidRPr="00056FA7">
              <w:rPr>
                <w:rFonts w:ascii="Arial" w:hAnsi="Arial" w:cs="Arial"/>
                <w:color w:val="000000"/>
                <w:kern w:val="24"/>
                <w:sz w:val="16"/>
                <w:szCs w:val="16"/>
                <w:lang w:val="en-US"/>
              </w:rPr>
              <w:t>UE need to support NC CA</w:t>
            </w:r>
          </w:p>
        </w:tc>
      </w:tr>
      <w:tr w:rsidR="00CB5491" w:rsidRPr="00056FA7" w:rsidTr="002878E1">
        <w:trPr>
          <w:trHeight w:val="594"/>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491" w:rsidRDefault="005C1E22" w:rsidP="00AE5F59">
            <w:pPr>
              <w:overflowPunct/>
              <w:autoSpaceDE/>
              <w:autoSpaceDN/>
              <w:adjustRightInd/>
              <w:spacing w:after="0"/>
              <w:textAlignment w:val="auto"/>
              <w:rPr>
                <w:rFonts w:ascii="Arial" w:hAnsi="Arial" w:cs="Arial"/>
                <w:b/>
                <w:bCs/>
                <w:color w:val="000000"/>
                <w:kern w:val="24"/>
                <w:sz w:val="16"/>
                <w:szCs w:val="16"/>
                <w:lang w:val="en-US"/>
              </w:rPr>
            </w:pPr>
            <w:r>
              <w:rPr>
                <w:rFonts w:ascii="Arial" w:hAnsi="Arial" w:cs="Arial"/>
                <w:b/>
                <w:bCs/>
                <w:color w:val="000000"/>
                <w:kern w:val="24"/>
                <w:sz w:val="16"/>
                <w:szCs w:val="16"/>
                <w:lang w:val="en-US"/>
              </w:rPr>
              <w:t>Complexity for BS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491" w:rsidRDefault="005C1E22" w:rsidP="00CB5491">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color w:val="000000"/>
                <w:kern w:val="24"/>
                <w:sz w:val="16"/>
                <w:szCs w:val="16"/>
                <w:lang w:val="en-US"/>
              </w:rPr>
              <w:t>Co-location case: no new requirement needed</w:t>
            </w:r>
          </w:p>
          <w:p w:rsidR="005C1E22" w:rsidRDefault="005C1E22" w:rsidP="00CB5491">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color w:val="000000"/>
                <w:kern w:val="24"/>
                <w:sz w:val="16"/>
                <w:szCs w:val="16"/>
                <w:lang w:val="en-US"/>
              </w:rPr>
              <w:t>non-colocation case: left to implementation</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491" w:rsidRDefault="005C1E22" w:rsidP="005C1E22">
            <w:pPr>
              <w:overflowPunct/>
              <w:autoSpaceDE/>
              <w:autoSpaceDN/>
              <w:adjustRightInd/>
              <w:spacing w:after="0"/>
              <w:textAlignment w:val="auto"/>
              <w:rPr>
                <w:rFonts w:ascii="Arial" w:hAnsi="Arial" w:cs="Arial"/>
                <w:bCs/>
                <w:color w:val="000000"/>
                <w:kern w:val="24"/>
                <w:sz w:val="16"/>
                <w:szCs w:val="16"/>
                <w:lang w:val="en-US"/>
              </w:rPr>
            </w:pPr>
            <w:r>
              <w:rPr>
                <w:rFonts w:ascii="Arial" w:hAnsi="Arial" w:cs="Arial" w:hint="eastAsia"/>
                <w:bCs/>
                <w:color w:val="000000"/>
                <w:kern w:val="24"/>
                <w:sz w:val="16"/>
                <w:szCs w:val="16"/>
                <w:lang w:val="en-US"/>
              </w:rPr>
              <w:t>B</w:t>
            </w:r>
            <w:r>
              <w:rPr>
                <w:rFonts w:ascii="Arial" w:hAnsi="Arial" w:cs="Arial"/>
                <w:bCs/>
                <w:color w:val="000000"/>
                <w:kern w:val="24"/>
                <w:sz w:val="16"/>
                <w:szCs w:val="16"/>
                <w:lang w:val="en-US"/>
              </w:rPr>
              <w:t>S</w:t>
            </w:r>
            <w:r w:rsidRPr="005C1E22">
              <w:rPr>
                <w:rFonts w:ascii="Arial" w:hAnsi="Arial" w:cs="Arial"/>
                <w:bCs/>
                <w:color w:val="000000"/>
                <w:kern w:val="24"/>
                <w:sz w:val="16"/>
                <w:szCs w:val="16"/>
                <w:lang w:val="en-US"/>
              </w:rPr>
              <w:t xml:space="preserve"> supports the corresponding normal CA</w:t>
            </w:r>
            <w:r>
              <w:rPr>
                <w:rFonts w:ascii="Arial" w:hAnsi="Arial" w:cs="Arial"/>
                <w:bCs/>
                <w:color w:val="000000"/>
                <w:kern w:val="24"/>
                <w:sz w:val="16"/>
                <w:szCs w:val="16"/>
                <w:lang w:val="en-US"/>
              </w:rPr>
              <w:t xml:space="preserve"> with </w:t>
            </w:r>
            <w:r w:rsidRPr="005C1E22">
              <w:rPr>
                <w:rFonts w:ascii="Arial" w:hAnsi="Arial" w:cs="Arial"/>
                <w:bCs/>
                <w:color w:val="000000"/>
                <w:kern w:val="24"/>
                <w:sz w:val="16"/>
                <w:szCs w:val="16"/>
                <w:lang w:val="en-US"/>
              </w:rPr>
              <w:t>no need to redo conformance testing</w:t>
            </w:r>
            <w:r>
              <w:rPr>
                <w:rFonts w:ascii="Arial" w:hAnsi="Arial" w:cs="Arial"/>
                <w:bCs/>
                <w:color w:val="000000"/>
                <w:kern w:val="24"/>
                <w:sz w:val="16"/>
                <w:szCs w:val="16"/>
                <w:lang w:val="en-US"/>
              </w:rPr>
              <w:t xml:space="preserve">, or BS supports </w:t>
            </w:r>
            <w:r w:rsidR="00943318">
              <w:rPr>
                <w:rFonts w:ascii="Arial" w:hAnsi="Arial" w:cs="Arial"/>
                <w:bCs/>
                <w:color w:val="000000"/>
                <w:kern w:val="24"/>
                <w:sz w:val="16"/>
                <w:szCs w:val="16"/>
                <w:lang w:val="en-US"/>
              </w:rPr>
              <w:t>new filter for each irregular BW.</w:t>
            </w:r>
          </w:p>
          <w:p w:rsidR="005C1E22" w:rsidRPr="005C1E22" w:rsidRDefault="005C1E22" w:rsidP="005C1E22">
            <w:pPr>
              <w:overflowPunct/>
              <w:autoSpaceDE/>
              <w:autoSpaceDN/>
              <w:adjustRightInd/>
              <w:spacing w:after="0"/>
              <w:textAlignment w:val="auto"/>
              <w:rPr>
                <w:rFonts w:ascii="Arial" w:hAnsi="Arial" w:cs="Arial"/>
                <w:bCs/>
                <w:color w:val="000000"/>
                <w:kern w:val="24"/>
                <w:sz w:val="16"/>
                <w:szCs w:val="16"/>
                <w:lang w:val="en-US"/>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491" w:rsidRDefault="00943318" w:rsidP="00AE5F59">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hint="eastAsia"/>
                <w:bCs/>
                <w:color w:val="000000"/>
                <w:kern w:val="24"/>
                <w:sz w:val="16"/>
                <w:szCs w:val="16"/>
                <w:lang w:val="en-US"/>
              </w:rPr>
              <w:t>B</w:t>
            </w:r>
            <w:r>
              <w:rPr>
                <w:rFonts w:ascii="Arial" w:hAnsi="Arial" w:cs="Arial"/>
                <w:bCs/>
                <w:color w:val="000000"/>
                <w:kern w:val="24"/>
                <w:sz w:val="16"/>
                <w:szCs w:val="16"/>
                <w:lang w:val="en-US"/>
              </w:rPr>
              <w:t>S</w:t>
            </w:r>
            <w:r w:rsidRPr="005C1E22">
              <w:rPr>
                <w:rFonts w:ascii="Arial" w:hAnsi="Arial" w:cs="Arial"/>
                <w:bCs/>
                <w:color w:val="000000"/>
                <w:kern w:val="24"/>
                <w:sz w:val="16"/>
                <w:szCs w:val="16"/>
                <w:lang w:val="en-US"/>
              </w:rPr>
              <w:t xml:space="preserve"> supports the corresponding normal CA</w:t>
            </w:r>
            <w:r>
              <w:rPr>
                <w:rFonts w:ascii="Arial" w:hAnsi="Arial" w:cs="Arial"/>
                <w:bCs/>
                <w:color w:val="000000"/>
                <w:kern w:val="24"/>
                <w:sz w:val="16"/>
                <w:szCs w:val="16"/>
                <w:lang w:val="en-US"/>
              </w:rPr>
              <w:t xml:space="preserve"> with </w:t>
            </w:r>
            <w:r w:rsidRPr="005C1E22">
              <w:rPr>
                <w:rFonts w:ascii="Arial" w:hAnsi="Arial" w:cs="Arial"/>
                <w:bCs/>
                <w:color w:val="000000"/>
                <w:kern w:val="24"/>
                <w:sz w:val="16"/>
                <w:szCs w:val="16"/>
                <w:lang w:val="en-US"/>
              </w:rPr>
              <w:t>no need to redo conformance testing</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491" w:rsidRPr="00943318" w:rsidRDefault="00943318" w:rsidP="00943318">
            <w:pPr>
              <w:overflowPunct/>
              <w:autoSpaceDE/>
              <w:autoSpaceDN/>
              <w:adjustRightInd/>
              <w:spacing w:after="0"/>
              <w:textAlignment w:val="auto"/>
              <w:rPr>
                <w:rFonts w:ascii="Arial" w:hAnsi="Arial" w:cs="Arial"/>
                <w:bCs/>
                <w:color w:val="000000"/>
                <w:kern w:val="24"/>
                <w:sz w:val="16"/>
                <w:szCs w:val="16"/>
                <w:lang w:val="en-US"/>
              </w:rPr>
            </w:pPr>
            <w:r>
              <w:rPr>
                <w:rFonts w:ascii="Arial" w:hAnsi="Arial" w:cs="Arial" w:hint="eastAsia"/>
                <w:bCs/>
                <w:color w:val="000000"/>
                <w:kern w:val="24"/>
                <w:sz w:val="16"/>
                <w:szCs w:val="16"/>
                <w:lang w:val="en-US"/>
              </w:rPr>
              <w:t>B</w:t>
            </w:r>
            <w:r>
              <w:rPr>
                <w:rFonts w:ascii="Arial" w:hAnsi="Arial" w:cs="Arial"/>
                <w:bCs/>
                <w:color w:val="000000"/>
                <w:kern w:val="24"/>
                <w:sz w:val="16"/>
                <w:szCs w:val="16"/>
                <w:lang w:val="en-US"/>
              </w:rPr>
              <w:t>S</w:t>
            </w:r>
            <w:r w:rsidRPr="005C1E22">
              <w:rPr>
                <w:rFonts w:ascii="Arial" w:hAnsi="Arial" w:cs="Arial"/>
                <w:bCs/>
                <w:color w:val="000000"/>
                <w:kern w:val="24"/>
                <w:sz w:val="16"/>
                <w:szCs w:val="16"/>
                <w:lang w:val="en-US"/>
              </w:rPr>
              <w:t xml:space="preserve"> supports the corresponding normal CA</w:t>
            </w:r>
            <w:r>
              <w:rPr>
                <w:rFonts w:ascii="Arial" w:hAnsi="Arial" w:cs="Arial"/>
                <w:bCs/>
                <w:color w:val="000000"/>
                <w:kern w:val="24"/>
                <w:sz w:val="16"/>
                <w:szCs w:val="16"/>
                <w:lang w:val="en-US"/>
              </w:rPr>
              <w:t xml:space="preserve"> with </w:t>
            </w:r>
            <w:r w:rsidRPr="005C1E22">
              <w:rPr>
                <w:rFonts w:ascii="Arial" w:hAnsi="Arial" w:cs="Arial"/>
                <w:bCs/>
                <w:color w:val="000000"/>
                <w:kern w:val="24"/>
                <w:sz w:val="16"/>
                <w:szCs w:val="16"/>
                <w:lang w:val="en-US"/>
              </w:rPr>
              <w:t>no need to redo conformance testing</w:t>
            </w:r>
            <w:r>
              <w:rPr>
                <w:rFonts w:ascii="Arial" w:hAnsi="Arial" w:cs="Arial"/>
                <w:bCs/>
                <w:color w:val="000000"/>
                <w:kern w:val="24"/>
                <w:sz w:val="16"/>
                <w:szCs w:val="16"/>
                <w:lang w:val="en-US"/>
              </w:rPr>
              <w:t>, or BS supports new filter for each irregular BW.</w:t>
            </w:r>
          </w:p>
        </w:tc>
      </w:tr>
      <w:tr w:rsidR="00943318" w:rsidRPr="00056FA7" w:rsidTr="002878E1">
        <w:trPr>
          <w:trHeight w:val="594"/>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43318" w:rsidRDefault="00943318" w:rsidP="00AE5F59">
            <w:pPr>
              <w:overflowPunct/>
              <w:autoSpaceDE/>
              <w:autoSpaceDN/>
              <w:adjustRightInd/>
              <w:spacing w:after="0"/>
              <w:textAlignment w:val="auto"/>
              <w:rPr>
                <w:rFonts w:ascii="Arial" w:hAnsi="Arial" w:cs="Arial"/>
                <w:b/>
                <w:bCs/>
                <w:color w:val="000000"/>
                <w:kern w:val="24"/>
                <w:sz w:val="16"/>
                <w:szCs w:val="16"/>
                <w:lang w:val="en-US"/>
              </w:rPr>
            </w:pPr>
            <w:r>
              <w:rPr>
                <w:rFonts w:ascii="Arial" w:hAnsi="Arial" w:cs="Arial"/>
                <w:b/>
                <w:bCs/>
                <w:color w:val="000000"/>
                <w:kern w:val="24"/>
                <w:sz w:val="16"/>
                <w:szCs w:val="16"/>
                <w:lang w:val="en-US"/>
              </w:rPr>
              <w:t>Complexity for UE</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43318" w:rsidRDefault="00943318" w:rsidP="00CB5491">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color w:val="000000"/>
                <w:kern w:val="24"/>
                <w:sz w:val="16"/>
                <w:szCs w:val="16"/>
                <w:lang w:val="en-US"/>
              </w:rPr>
              <w:t>No new UE</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43318" w:rsidRDefault="00943318" w:rsidP="005C1E22">
            <w:pPr>
              <w:overflowPunct/>
              <w:autoSpaceDE/>
              <w:autoSpaceDN/>
              <w:adjustRightInd/>
              <w:spacing w:after="0"/>
              <w:textAlignment w:val="auto"/>
              <w:rPr>
                <w:rFonts w:ascii="Arial" w:hAnsi="Arial" w:cs="Arial"/>
                <w:bCs/>
                <w:color w:val="000000"/>
                <w:kern w:val="24"/>
                <w:sz w:val="16"/>
                <w:szCs w:val="16"/>
                <w:lang w:val="en-US"/>
              </w:rPr>
            </w:pPr>
            <w:r>
              <w:rPr>
                <w:rFonts w:ascii="Arial" w:hAnsi="Arial" w:cs="Arial"/>
                <w:color w:val="000000"/>
                <w:kern w:val="24"/>
                <w:sz w:val="16"/>
                <w:szCs w:val="16"/>
                <w:lang w:val="en-US"/>
              </w:rPr>
              <w:t>No new UE</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43318" w:rsidRDefault="00943318" w:rsidP="00AE5F59">
            <w:pPr>
              <w:overflowPunct/>
              <w:autoSpaceDE/>
              <w:autoSpaceDN/>
              <w:adjustRightInd/>
              <w:spacing w:after="0"/>
              <w:textAlignment w:val="auto"/>
              <w:rPr>
                <w:rFonts w:ascii="Arial" w:hAnsi="Arial" w:cs="Arial"/>
                <w:bCs/>
                <w:color w:val="000000"/>
                <w:kern w:val="24"/>
                <w:sz w:val="16"/>
                <w:szCs w:val="16"/>
                <w:lang w:val="en-US"/>
              </w:rPr>
            </w:pPr>
            <w:r>
              <w:rPr>
                <w:rFonts w:ascii="Arial" w:hAnsi="Arial" w:cs="Arial"/>
                <w:bCs/>
                <w:color w:val="000000"/>
                <w:kern w:val="24"/>
                <w:sz w:val="16"/>
                <w:szCs w:val="16"/>
                <w:lang w:val="en-US"/>
              </w:rPr>
              <w:t>N</w:t>
            </w:r>
            <w:r>
              <w:rPr>
                <w:rFonts w:ascii="Arial" w:hAnsi="Arial" w:cs="Arial" w:hint="eastAsia"/>
                <w:bCs/>
                <w:color w:val="000000"/>
                <w:kern w:val="24"/>
                <w:sz w:val="16"/>
                <w:szCs w:val="16"/>
                <w:lang w:val="en-US"/>
              </w:rPr>
              <w:t>e</w:t>
            </w:r>
            <w:r>
              <w:rPr>
                <w:rFonts w:ascii="Arial" w:hAnsi="Arial" w:cs="Arial"/>
                <w:bCs/>
                <w:color w:val="000000"/>
                <w:kern w:val="24"/>
                <w:sz w:val="16"/>
                <w:szCs w:val="16"/>
                <w:lang w:val="en-US"/>
              </w:rPr>
              <w:t>w UE supports NC CA and new configuration for overlapping case</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15014" w:rsidRDefault="00943318" w:rsidP="00D0431C">
            <w:pPr>
              <w:overflowPunct/>
              <w:autoSpaceDE/>
              <w:autoSpaceDN/>
              <w:adjustRightInd/>
              <w:spacing w:after="0"/>
              <w:textAlignment w:val="auto"/>
              <w:rPr>
                <w:rFonts w:ascii="Arial" w:hAnsi="Arial" w:cs="Arial"/>
                <w:bCs/>
                <w:color w:val="000000"/>
                <w:kern w:val="24"/>
                <w:sz w:val="16"/>
                <w:szCs w:val="16"/>
                <w:lang w:val="en-US"/>
              </w:rPr>
            </w:pPr>
            <w:r>
              <w:rPr>
                <w:rFonts w:ascii="Arial" w:hAnsi="Arial" w:cs="Arial"/>
                <w:bCs/>
                <w:color w:val="000000"/>
                <w:kern w:val="24"/>
                <w:sz w:val="16"/>
                <w:szCs w:val="16"/>
                <w:lang w:val="en-US"/>
              </w:rPr>
              <w:t>N</w:t>
            </w:r>
            <w:r>
              <w:rPr>
                <w:rFonts w:ascii="Arial" w:hAnsi="Arial" w:cs="Arial" w:hint="eastAsia"/>
                <w:bCs/>
                <w:color w:val="000000"/>
                <w:kern w:val="24"/>
                <w:sz w:val="16"/>
                <w:szCs w:val="16"/>
                <w:lang w:val="en-US"/>
              </w:rPr>
              <w:t>e</w:t>
            </w:r>
            <w:r>
              <w:rPr>
                <w:rFonts w:ascii="Arial" w:hAnsi="Arial" w:cs="Arial"/>
                <w:bCs/>
                <w:color w:val="000000"/>
                <w:kern w:val="24"/>
                <w:sz w:val="16"/>
                <w:szCs w:val="16"/>
                <w:lang w:val="en-US"/>
              </w:rPr>
              <w:t xml:space="preserve">w UE supports NC CA, and </w:t>
            </w:r>
            <w:r w:rsidR="00F15014">
              <w:rPr>
                <w:rFonts w:ascii="Arial" w:hAnsi="Arial" w:cs="Arial"/>
                <w:bCs/>
                <w:color w:val="000000"/>
                <w:kern w:val="24"/>
                <w:sz w:val="16"/>
                <w:szCs w:val="16"/>
                <w:lang w:val="en-US"/>
              </w:rPr>
              <w:t>the capability to combine the two RF</w:t>
            </w:r>
            <w:r w:rsidR="00F15014" w:rsidRPr="00D0431C">
              <w:rPr>
                <w:rFonts w:ascii="Arial" w:hAnsi="Arial" w:cs="Arial"/>
                <w:bCs/>
                <w:color w:val="000000"/>
                <w:kern w:val="24"/>
                <w:sz w:val="16"/>
                <w:szCs w:val="16"/>
                <w:lang w:val="en-US"/>
              </w:rPr>
              <w:t xml:space="preserve"> carrier parts </w:t>
            </w:r>
            <w:r w:rsidR="00D0431C">
              <w:rPr>
                <w:rFonts w:ascii="Arial" w:hAnsi="Arial" w:cs="Arial"/>
                <w:bCs/>
                <w:color w:val="000000"/>
                <w:kern w:val="24"/>
                <w:sz w:val="16"/>
                <w:szCs w:val="16"/>
                <w:lang w:val="en-US"/>
              </w:rPr>
              <w:t xml:space="preserve">and </w:t>
            </w:r>
            <w:r w:rsidR="00D0431C">
              <w:rPr>
                <w:rFonts w:ascii="Arial" w:hAnsi="Arial" w:cs="Arial"/>
                <w:color w:val="000000"/>
                <w:kern w:val="24"/>
                <w:sz w:val="16"/>
                <w:szCs w:val="16"/>
                <w:lang w:val="en-US"/>
              </w:rPr>
              <w:t>process</w:t>
            </w:r>
            <w:r w:rsidR="00D0431C" w:rsidRPr="00D0431C">
              <w:rPr>
                <w:rFonts w:ascii="Arial" w:hAnsi="Arial" w:cs="Arial"/>
                <w:color w:val="000000"/>
                <w:kern w:val="24"/>
                <w:sz w:val="16"/>
                <w:szCs w:val="16"/>
                <w:lang w:val="en-US"/>
              </w:rPr>
              <w:t xml:space="preserve"> </w:t>
            </w:r>
            <w:r w:rsidR="00F15014" w:rsidRPr="00D0431C">
              <w:rPr>
                <w:rFonts w:ascii="Arial" w:hAnsi="Arial" w:cs="Arial"/>
                <w:bCs/>
                <w:color w:val="000000"/>
                <w:kern w:val="24"/>
                <w:sz w:val="16"/>
                <w:szCs w:val="16"/>
                <w:lang w:val="en-US"/>
              </w:rPr>
              <w:t>as a BB carrier.</w:t>
            </w:r>
          </w:p>
        </w:tc>
      </w:tr>
      <w:tr w:rsidR="00F15014" w:rsidRPr="00056FA7" w:rsidTr="002878E1">
        <w:trPr>
          <w:trHeight w:val="594"/>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15014" w:rsidRDefault="00F15014" w:rsidP="00AE5F59">
            <w:pPr>
              <w:overflowPunct/>
              <w:autoSpaceDE/>
              <w:autoSpaceDN/>
              <w:adjustRightInd/>
              <w:spacing w:after="0"/>
              <w:textAlignment w:val="auto"/>
              <w:rPr>
                <w:rFonts w:ascii="Arial" w:hAnsi="Arial" w:cs="Arial"/>
                <w:b/>
                <w:bCs/>
                <w:color w:val="000000"/>
                <w:kern w:val="24"/>
                <w:sz w:val="16"/>
                <w:szCs w:val="16"/>
                <w:lang w:val="en-US"/>
              </w:rPr>
            </w:pPr>
            <w:r>
              <w:rPr>
                <w:rFonts w:ascii="Arial" w:hAnsi="Arial" w:cs="Arial"/>
                <w:b/>
                <w:bCs/>
                <w:color w:val="000000"/>
                <w:kern w:val="24"/>
                <w:sz w:val="16"/>
                <w:szCs w:val="16"/>
                <w:lang w:val="en-US"/>
              </w:rPr>
              <w:t>Impact to RAN1 and RAN2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15014" w:rsidRDefault="00F15014" w:rsidP="00CB5491">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color w:val="000000"/>
                <w:kern w:val="24"/>
                <w:sz w:val="16"/>
                <w:szCs w:val="16"/>
                <w:lang w:val="en-US"/>
              </w:rPr>
              <w:t>no</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15014" w:rsidRDefault="00F15014" w:rsidP="005C1E22">
            <w:pPr>
              <w:overflowPunct/>
              <w:autoSpaceDE/>
              <w:autoSpaceDN/>
              <w:adjustRightInd/>
              <w:spacing w:after="0"/>
              <w:textAlignment w:val="auto"/>
              <w:rPr>
                <w:rFonts w:ascii="Arial" w:hAnsi="Arial" w:cs="Arial"/>
                <w:color w:val="000000"/>
                <w:kern w:val="24"/>
                <w:sz w:val="16"/>
                <w:szCs w:val="16"/>
                <w:lang w:val="en-US"/>
              </w:rPr>
            </w:pPr>
            <w:r w:rsidRPr="00F15014">
              <w:rPr>
                <w:rFonts w:ascii="Arial" w:hAnsi="Arial" w:cs="Arial"/>
                <w:color w:val="000000"/>
                <w:kern w:val="24"/>
                <w:sz w:val="16"/>
                <w:szCs w:val="16"/>
                <w:lang w:val="en-US"/>
              </w:rPr>
              <w:t>It is possible from signaling view but RAN2 has no consensus whether a new capability is needed</w:t>
            </w:r>
            <w:r w:rsidR="00D0431C">
              <w:rPr>
                <w:color w:val="4472C4" w:themeColor="accent5"/>
              </w:rPr>
              <w:t xml:space="preserve"> </w:t>
            </w:r>
            <w:r w:rsidR="00D0431C" w:rsidRPr="00D0431C">
              <w:rPr>
                <w:rFonts w:ascii="Arial" w:hAnsi="Arial" w:cs="Arial"/>
                <w:color w:val="000000"/>
                <w:kern w:val="24"/>
                <w:sz w:val="16"/>
                <w:szCs w:val="16"/>
                <w:lang w:val="en-US"/>
              </w:rPr>
              <w:t>to support that the dedicated channel bandwidth is outside SIB1 channel bandwidth</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15014" w:rsidRDefault="00F15014" w:rsidP="00AE5F59">
            <w:pPr>
              <w:overflowPunct/>
              <w:autoSpaceDE/>
              <w:autoSpaceDN/>
              <w:adjustRightInd/>
              <w:spacing w:after="0"/>
              <w:textAlignment w:val="auto"/>
              <w:rPr>
                <w:rFonts w:ascii="Arial" w:hAnsi="Arial" w:cs="Arial"/>
                <w:bCs/>
                <w:color w:val="000000"/>
                <w:kern w:val="24"/>
                <w:sz w:val="16"/>
                <w:szCs w:val="16"/>
                <w:lang w:val="en-US"/>
              </w:rPr>
            </w:pPr>
            <w:r>
              <w:rPr>
                <w:rFonts w:ascii="Arial" w:hAnsi="Arial" w:cs="Arial"/>
                <w:color w:val="000000"/>
                <w:kern w:val="24"/>
                <w:sz w:val="16"/>
                <w:szCs w:val="16"/>
                <w:lang w:val="en-US"/>
              </w:rPr>
              <w:t>N</w:t>
            </w:r>
            <w:r>
              <w:rPr>
                <w:rFonts w:ascii="Arial" w:hAnsi="Arial" w:cs="Arial" w:hint="eastAsia"/>
                <w:color w:val="000000"/>
                <w:kern w:val="24"/>
                <w:sz w:val="16"/>
                <w:szCs w:val="16"/>
                <w:lang w:val="en-US"/>
              </w:rPr>
              <w:t>e</w:t>
            </w:r>
            <w:r>
              <w:rPr>
                <w:rFonts w:ascii="Arial" w:hAnsi="Arial" w:cs="Arial"/>
                <w:color w:val="000000"/>
                <w:kern w:val="24"/>
                <w:sz w:val="16"/>
                <w:szCs w:val="16"/>
                <w:lang w:val="en-US"/>
              </w:rPr>
              <w:t>w UE capability signaling is needed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15014" w:rsidRDefault="0024021F" w:rsidP="00F15014">
            <w:pPr>
              <w:overflowPunct/>
              <w:autoSpaceDE/>
              <w:autoSpaceDN/>
              <w:adjustRightInd/>
              <w:spacing w:after="0"/>
              <w:textAlignment w:val="auto"/>
              <w:rPr>
                <w:rFonts w:ascii="Arial" w:hAnsi="Arial" w:cs="Arial"/>
                <w:color w:val="000000"/>
                <w:kern w:val="24"/>
                <w:sz w:val="16"/>
                <w:szCs w:val="16"/>
                <w:lang w:val="en-US"/>
              </w:rPr>
            </w:pPr>
            <w:r w:rsidRPr="00F15014">
              <w:rPr>
                <w:rFonts w:ascii="Arial" w:hAnsi="Arial" w:cs="Arial"/>
                <w:color w:val="000000"/>
                <w:kern w:val="24"/>
                <w:sz w:val="16"/>
                <w:szCs w:val="16"/>
                <w:lang w:val="en-US"/>
              </w:rPr>
              <w:t>It is possible from signaling view but RAN2 has no consensus whether a new capability is needed</w:t>
            </w:r>
            <w:r w:rsidR="00D0431C">
              <w:rPr>
                <w:rFonts w:ascii="Arial" w:hAnsi="Arial" w:cs="Arial"/>
                <w:color w:val="000000"/>
                <w:kern w:val="24"/>
                <w:sz w:val="16"/>
                <w:szCs w:val="16"/>
                <w:lang w:val="en-US"/>
              </w:rPr>
              <w:t xml:space="preserve"> </w:t>
            </w:r>
            <w:r w:rsidR="00D0431C" w:rsidRPr="00D0431C">
              <w:rPr>
                <w:rFonts w:ascii="Arial" w:hAnsi="Arial" w:cs="Arial"/>
                <w:color w:val="000000"/>
                <w:kern w:val="24"/>
                <w:sz w:val="16"/>
                <w:szCs w:val="16"/>
                <w:lang w:val="en-US"/>
              </w:rPr>
              <w:t>to support that the dedicated channel bandwidth is outside SIB1 channel bandwidth</w:t>
            </w:r>
            <w:r w:rsidR="00D0431C">
              <w:rPr>
                <w:rFonts w:ascii="Arial" w:hAnsi="Arial" w:cs="Arial"/>
                <w:color w:val="000000"/>
                <w:kern w:val="24"/>
                <w:sz w:val="16"/>
                <w:szCs w:val="16"/>
                <w:lang w:val="en-US"/>
              </w:rPr>
              <w:t xml:space="preserve">. </w:t>
            </w:r>
          </w:p>
          <w:p w:rsidR="00D0431C" w:rsidRDefault="00D0431C" w:rsidP="00F15014">
            <w:pPr>
              <w:overflowPunct/>
              <w:autoSpaceDE/>
              <w:autoSpaceDN/>
              <w:adjustRightInd/>
              <w:spacing w:after="0"/>
              <w:textAlignment w:val="auto"/>
              <w:rPr>
                <w:rFonts w:ascii="Arial" w:hAnsi="Arial" w:cs="Arial"/>
                <w:bCs/>
                <w:color w:val="000000"/>
                <w:kern w:val="24"/>
                <w:sz w:val="16"/>
                <w:szCs w:val="16"/>
                <w:lang w:val="en-US"/>
              </w:rPr>
            </w:pPr>
            <w:r>
              <w:rPr>
                <w:rFonts w:ascii="Arial" w:hAnsi="Arial" w:cs="Arial"/>
                <w:color w:val="000000"/>
                <w:kern w:val="24"/>
                <w:sz w:val="16"/>
                <w:szCs w:val="16"/>
                <w:lang w:val="en-US"/>
              </w:rPr>
              <w:t>N</w:t>
            </w:r>
            <w:r>
              <w:rPr>
                <w:rFonts w:ascii="Arial" w:hAnsi="Arial" w:cs="Arial" w:hint="eastAsia"/>
                <w:color w:val="000000"/>
                <w:kern w:val="24"/>
                <w:sz w:val="16"/>
                <w:szCs w:val="16"/>
                <w:lang w:val="en-US"/>
              </w:rPr>
              <w:t>e</w:t>
            </w:r>
            <w:r>
              <w:rPr>
                <w:rFonts w:ascii="Arial" w:hAnsi="Arial" w:cs="Arial"/>
                <w:color w:val="000000"/>
                <w:kern w:val="24"/>
                <w:sz w:val="16"/>
                <w:szCs w:val="16"/>
                <w:lang w:val="en-US"/>
              </w:rPr>
              <w:t xml:space="preserve">w UE capability signaling is needed for the UE </w:t>
            </w:r>
            <w:r w:rsidRPr="00D0431C">
              <w:rPr>
                <w:rFonts w:ascii="Arial" w:hAnsi="Arial" w:cs="Arial"/>
                <w:color w:val="000000"/>
                <w:kern w:val="24"/>
                <w:sz w:val="16"/>
                <w:szCs w:val="16"/>
                <w:lang w:val="en-US"/>
              </w:rPr>
              <w:t xml:space="preserve">capability to combine the two RF carrier parts </w:t>
            </w:r>
            <w:r>
              <w:rPr>
                <w:rFonts w:ascii="Arial" w:hAnsi="Arial" w:cs="Arial"/>
                <w:color w:val="000000"/>
                <w:kern w:val="24"/>
                <w:sz w:val="16"/>
                <w:szCs w:val="16"/>
                <w:lang w:val="en-US"/>
              </w:rPr>
              <w:t>and process</w:t>
            </w:r>
            <w:r w:rsidRPr="00D0431C">
              <w:rPr>
                <w:rFonts w:ascii="Arial" w:hAnsi="Arial" w:cs="Arial"/>
                <w:color w:val="000000"/>
                <w:kern w:val="24"/>
                <w:sz w:val="16"/>
                <w:szCs w:val="16"/>
                <w:lang w:val="en-US"/>
              </w:rPr>
              <w:t xml:space="preserve"> as a BB carrier.</w:t>
            </w:r>
          </w:p>
        </w:tc>
      </w:tr>
    </w:tbl>
    <w:p w:rsidR="004E3617" w:rsidRDefault="004E3617" w:rsidP="003D4A9C">
      <w:pPr>
        <w:rPr>
          <w:lang w:val="en-US"/>
        </w:rPr>
      </w:pPr>
    </w:p>
    <w:p w:rsidR="004E3617" w:rsidRDefault="004E3617" w:rsidP="003D4A9C">
      <w:r>
        <w:rPr>
          <w:lang w:val="en-US"/>
        </w:rPr>
        <w:t xml:space="preserve">For </w:t>
      </w:r>
      <w:r w:rsidR="00F74D54">
        <w:rPr>
          <w:lang w:val="en-US"/>
        </w:rPr>
        <w:t>Option 1</w:t>
      </w:r>
      <w:r w:rsidR="00164028">
        <w:rPr>
          <w:lang w:val="en-US"/>
        </w:rPr>
        <w:t xml:space="preserve"> </w:t>
      </w:r>
      <w:r>
        <w:rPr>
          <w:lang w:val="en-US"/>
        </w:rPr>
        <w:t xml:space="preserve">wider channel bandwidth approach, since </w:t>
      </w:r>
      <w:r w:rsidRPr="004E3617">
        <w:rPr>
          <w:lang w:val="en-US"/>
        </w:rPr>
        <w:t xml:space="preserve">no dedicated channel filter is assumed, it is foreseen </w:t>
      </w:r>
      <w:r w:rsidR="001A12DF">
        <w:rPr>
          <w:rFonts w:hint="eastAsia"/>
          <w:lang w:val="en-US"/>
        </w:rPr>
        <w:t>t</w:t>
      </w:r>
      <w:r w:rsidR="001A12DF">
        <w:rPr>
          <w:lang w:val="en-US"/>
        </w:rPr>
        <w:t xml:space="preserve">hat </w:t>
      </w:r>
      <w:r w:rsidRPr="004E3617">
        <w:rPr>
          <w:lang w:val="en-US"/>
        </w:rPr>
        <w:t xml:space="preserve">there are some </w:t>
      </w:r>
      <w:r>
        <w:rPr>
          <w:lang w:val="en-US"/>
        </w:rPr>
        <w:t xml:space="preserve">performance degradation due to UE ACS/blocking and BS SEM. Hence the wider channel bandwidth approach </w:t>
      </w:r>
      <w:r w:rsidR="00164028">
        <w:rPr>
          <w:lang w:val="en-US"/>
        </w:rPr>
        <w:t xml:space="preserve">is </w:t>
      </w:r>
      <w:r>
        <w:rPr>
          <w:lang w:val="en-US"/>
        </w:rPr>
        <w:t>applicable to co-location case, e.g. operato</w:t>
      </w:r>
      <w:r w:rsidR="00164028">
        <w:rPr>
          <w:lang w:val="en-US"/>
        </w:rPr>
        <w:t>r holds 10 MHz and</w:t>
      </w:r>
      <w:r>
        <w:rPr>
          <w:lang w:val="en-US"/>
        </w:rPr>
        <w:t xml:space="preserve"> some of the spectrum is used for other RAT. And for this option, there is no specificatio</w:t>
      </w:r>
      <w:r w:rsidR="00F74D54">
        <w:rPr>
          <w:lang w:val="en-US"/>
        </w:rPr>
        <w:t>n impact at all and can be configured in the co-location deployments or similar scenarios</w:t>
      </w:r>
      <w:r w:rsidR="00164028">
        <w:rPr>
          <w:lang w:val="en-US"/>
        </w:rPr>
        <w:t>, with BS and UE complied with existing conformance testing</w:t>
      </w:r>
      <w:r w:rsidR="00F74D54">
        <w:rPr>
          <w:lang w:val="en-US"/>
        </w:rPr>
        <w:t>.</w:t>
      </w:r>
      <w:r w:rsidR="0024021F">
        <w:rPr>
          <w:lang w:val="en-US"/>
        </w:rPr>
        <w:t xml:space="preserve"> </w:t>
      </w:r>
      <w:r w:rsidR="0024021F">
        <w:t>For n</w:t>
      </w:r>
      <w:r w:rsidR="00B47703">
        <w:t xml:space="preserve">on-collocated scenarios </w:t>
      </w:r>
      <w:r w:rsidR="0024021F">
        <w:t>it can be deployed with some</w:t>
      </w:r>
      <w:r w:rsidR="00B47703">
        <w:t xml:space="preserve"> performance degradation. In that</w:t>
      </w:r>
      <w:r w:rsidR="0024021F">
        <w:t xml:space="preserve"> case we think it belong to implementation solution and will be complicated to define it in a standardized way.</w:t>
      </w:r>
    </w:p>
    <w:p w:rsidR="0024021F" w:rsidRDefault="0024021F" w:rsidP="003D4A9C">
      <w:pPr>
        <w:rPr>
          <w:lang w:val="en-US"/>
        </w:rPr>
      </w:pPr>
      <w:r w:rsidRPr="0024021F">
        <w:rPr>
          <w:b/>
        </w:rPr>
        <w:t>Observation</w:t>
      </w:r>
      <w:r>
        <w:t xml:space="preserve"> 1: there is no further specification </w:t>
      </w:r>
      <w:r w:rsidR="00B47703">
        <w:t xml:space="preserve">work </w:t>
      </w:r>
      <w:r>
        <w:t>needed for wider channel bandwidth approach</w:t>
      </w:r>
      <w:r w:rsidR="00D0431C">
        <w:t xml:space="preserve"> (Option 1)</w:t>
      </w:r>
      <w:r>
        <w:t xml:space="preserve">.  </w:t>
      </w:r>
    </w:p>
    <w:p w:rsidR="0024021F" w:rsidRDefault="0024021F" w:rsidP="00946331">
      <w:pPr>
        <w:rPr>
          <w:lang w:val="en-US"/>
        </w:rPr>
      </w:pPr>
      <w:r>
        <w:rPr>
          <w:lang w:val="en-US"/>
        </w:rPr>
        <w:t xml:space="preserve">On the BS complexity aspects, the complexity is similar for option 2, 3 and option 4. </w:t>
      </w:r>
    </w:p>
    <w:p w:rsidR="0024021F" w:rsidRDefault="0024021F" w:rsidP="00946331">
      <w:pPr>
        <w:rPr>
          <w:lang w:val="en-US"/>
        </w:rPr>
      </w:pPr>
      <w:r w:rsidRPr="0024021F">
        <w:rPr>
          <w:b/>
        </w:rPr>
        <w:t>Observation</w:t>
      </w:r>
      <w:r>
        <w:t xml:space="preserve"> 2: </w:t>
      </w:r>
      <w:r>
        <w:rPr>
          <w:lang w:val="en-US"/>
        </w:rPr>
        <w:t>the complexity is similar for option 2, 3 and option 4 on BS side.</w:t>
      </w:r>
    </w:p>
    <w:p w:rsidR="0024021F" w:rsidRDefault="0024021F" w:rsidP="00946331">
      <w:pPr>
        <w:rPr>
          <w:lang w:val="en-US"/>
        </w:rPr>
      </w:pPr>
      <w:r>
        <w:rPr>
          <w:lang w:val="en-US"/>
        </w:rPr>
        <w:lastRenderedPageBreak/>
        <w:t xml:space="preserve">Option 2 does not support the overall spectrum block in DL. Option 3 and 4 need to support new UE to support the whole spectrum block. </w:t>
      </w:r>
      <w:r w:rsidR="00D0431C">
        <w:rPr>
          <w:lang w:val="en-US"/>
        </w:rPr>
        <w:t>A</w:t>
      </w:r>
      <w:r w:rsidR="00B47703">
        <w:rPr>
          <w:lang w:val="en-US"/>
        </w:rPr>
        <w:t>t least n</w:t>
      </w:r>
      <w:r w:rsidR="00D0431C" w:rsidRPr="00D0431C">
        <w:rPr>
          <w:rFonts w:hint="eastAsia"/>
          <w:lang w:val="en-US"/>
        </w:rPr>
        <w:t>e</w:t>
      </w:r>
      <w:r w:rsidR="00D0431C" w:rsidRPr="00D0431C">
        <w:rPr>
          <w:lang w:val="en-US"/>
        </w:rPr>
        <w:t>w UE capability signaling is needed for option 3 and 4.</w:t>
      </w:r>
    </w:p>
    <w:p w:rsidR="00D0431C" w:rsidRDefault="00D0431C" w:rsidP="00946331">
      <w:pPr>
        <w:rPr>
          <w:lang w:val="en-US"/>
        </w:rPr>
      </w:pPr>
      <w:r w:rsidRPr="0024021F">
        <w:rPr>
          <w:b/>
        </w:rPr>
        <w:t>Observation</w:t>
      </w:r>
      <w:r>
        <w:t xml:space="preserve"> 3: </w:t>
      </w:r>
      <w:r>
        <w:rPr>
          <w:lang w:val="en-US"/>
        </w:rPr>
        <w:t>Option 2 does not support the overall spectrum block in DL. Option 3 and 4 need to support new UE to support the whole spectrum block.</w:t>
      </w:r>
      <w:bookmarkStart w:id="3" w:name="_GoBack"/>
      <w:bookmarkEnd w:id="3"/>
    </w:p>
    <w:p w:rsidR="00A45357" w:rsidRDefault="00563F22" w:rsidP="00A15CF2">
      <w:pPr>
        <w:pStyle w:val="1"/>
        <w:tabs>
          <w:tab w:val="num" w:pos="397"/>
        </w:tabs>
        <w:ind w:left="533" w:hanging="533"/>
      </w:pPr>
      <w:r>
        <w:t>C</w:t>
      </w:r>
      <w:r>
        <w:rPr>
          <w:rFonts w:hint="eastAsia"/>
        </w:rPr>
        <w:t>onclusions</w:t>
      </w:r>
    </w:p>
    <w:p w:rsidR="00FD5A1B" w:rsidRDefault="00523B83" w:rsidP="00FD5A1B">
      <w:r>
        <w:rPr>
          <w:rFonts w:hint="eastAsia"/>
        </w:rPr>
        <w:t>I</w:t>
      </w:r>
      <w:r>
        <w:t xml:space="preserve">n the contribution, we provide discussion on </w:t>
      </w:r>
      <w:r w:rsidR="000D1E49">
        <w:t>overall comparisons of the four methods.</w:t>
      </w:r>
    </w:p>
    <w:p w:rsidR="00D0431C" w:rsidRDefault="00D0431C" w:rsidP="00FD5A1B">
      <w:r w:rsidRPr="0024021F">
        <w:rPr>
          <w:b/>
        </w:rPr>
        <w:t>Observation</w:t>
      </w:r>
      <w:r>
        <w:t xml:space="preserve"> 1: there is no further specification needed for wider channel bandwidth approach (Option 1).  </w:t>
      </w:r>
    </w:p>
    <w:p w:rsidR="00D0431C" w:rsidRDefault="00D0431C" w:rsidP="00D0431C">
      <w:pPr>
        <w:rPr>
          <w:lang w:val="en-US"/>
        </w:rPr>
      </w:pPr>
      <w:r w:rsidRPr="0024021F">
        <w:rPr>
          <w:b/>
        </w:rPr>
        <w:t>Observation</w:t>
      </w:r>
      <w:r>
        <w:t xml:space="preserve"> 2: </w:t>
      </w:r>
      <w:r>
        <w:rPr>
          <w:lang w:val="en-US"/>
        </w:rPr>
        <w:t>the complexity is similar for option 2, 3 and option 4 on BS side.</w:t>
      </w:r>
    </w:p>
    <w:p w:rsidR="00D0431C" w:rsidRPr="00D0431C" w:rsidRDefault="00D0431C" w:rsidP="00FD5A1B">
      <w:pPr>
        <w:rPr>
          <w:lang w:val="en-US"/>
        </w:rPr>
      </w:pPr>
      <w:r w:rsidRPr="0024021F">
        <w:rPr>
          <w:b/>
        </w:rPr>
        <w:t>Observation</w:t>
      </w:r>
      <w:r>
        <w:t xml:space="preserve"> 3: </w:t>
      </w:r>
      <w:r>
        <w:rPr>
          <w:lang w:val="en-US"/>
        </w:rPr>
        <w:t>Option 2 does not support the overall spectrum block in DL. Option 3 and 4 need to support new UE to support the whole spectrum block.</w:t>
      </w:r>
    </w:p>
    <w:p w:rsidR="00563F22" w:rsidRPr="00563F22" w:rsidRDefault="00563F22" w:rsidP="00563F22">
      <w:pPr>
        <w:pStyle w:val="1"/>
        <w:tabs>
          <w:tab w:val="num" w:pos="397"/>
        </w:tabs>
        <w:ind w:left="533" w:hanging="533"/>
      </w:pPr>
      <w:r>
        <w:t xml:space="preserve">References </w:t>
      </w:r>
    </w:p>
    <w:p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rsidR="00C43E83" w:rsidRDefault="00C43E83" w:rsidP="00C43E83">
      <w:pPr>
        <w:pStyle w:val="References"/>
      </w:pPr>
      <w:r w:rsidRPr="00C43E83">
        <w:t>R4-2114998</w:t>
      </w:r>
      <w:r>
        <w:rPr>
          <w:rFonts w:hint="eastAsia"/>
        </w:rPr>
        <w:t>,</w:t>
      </w:r>
      <w:r>
        <w:t xml:space="preserve"> </w:t>
      </w:r>
      <w:r w:rsidRPr="00C43E83">
        <w:t>WF on widerCBW Approach</w:t>
      </w:r>
      <w:r>
        <w:t xml:space="preserve">, </w:t>
      </w:r>
      <w:r w:rsidRPr="00C43E83">
        <w:t>Ericsson</w:t>
      </w:r>
    </w:p>
    <w:p w:rsidR="00397C94" w:rsidRDefault="00397C94" w:rsidP="00397C94">
      <w:pPr>
        <w:pStyle w:val="References"/>
      </w:pPr>
      <w:r w:rsidRPr="002E42D9">
        <w:t>R4-2106485</w:t>
      </w:r>
      <w:r>
        <w:t xml:space="preserve">, </w:t>
      </w:r>
      <w:r w:rsidRPr="002E42D9">
        <w:t>Consideration on use of larger channel bandwidth</w:t>
      </w:r>
      <w:r>
        <w:t xml:space="preserve">, </w:t>
      </w:r>
      <w:r w:rsidRPr="002E42D9">
        <w:t>Huawei, HiSilicon</w:t>
      </w:r>
    </w:p>
    <w:p w:rsidR="00397C94" w:rsidRDefault="00397C94" w:rsidP="00C43E83">
      <w:pPr>
        <w:pStyle w:val="References"/>
      </w:pPr>
      <w:r w:rsidRPr="00397C94">
        <w:t xml:space="preserve">R4-2113045, Evaluation for use of larger channel bandwidth, </w:t>
      </w:r>
      <w:r w:rsidRPr="002E42D9">
        <w:t>Huawei, HiSilicon</w:t>
      </w:r>
    </w:p>
    <w:p w:rsidR="00E407EA" w:rsidRDefault="00E407EA" w:rsidP="00612E55">
      <w:pPr>
        <w:pStyle w:val="References"/>
        <w:numPr>
          <w:ilvl w:val="0"/>
          <w:numId w:val="0"/>
        </w:numPr>
        <w:ind w:left="360"/>
      </w:pPr>
    </w:p>
    <w:sectPr w:rsidR="00E407E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924" w:rsidRDefault="00A63924">
      <w:r>
        <w:separator/>
      </w:r>
    </w:p>
  </w:endnote>
  <w:endnote w:type="continuationSeparator" w:id="0">
    <w:p w:rsidR="00A63924" w:rsidRDefault="00A63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924" w:rsidRDefault="00A63924">
      <w:r>
        <w:separator/>
      </w:r>
    </w:p>
  </w:footnote>
  <w:footnote w:type="continuationSeparator" w:id="0">
    <w:p w:rsidR="00A63924" w:rsidRDefault="00A639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814E5"/>
    <w:multiLevelType w:val="hybridMultilevel"/>
    <w:tmpl w:val="A8F6557A"/>
    <w:lvl w:ilvl="0" w:tplc="85BABBE4">
      <w:start w:val="1"/>
      <w:numFmt w:val="bullet"/>
      <w:lvlText w:val="•"/>
      <w:lvlJc w:val="left"/>
      <w:pPr>
        <w:tabs>
          <w:tab w:val="num" w:pos="720"/>
        </w:tabs>
        <w:ind w:left="720" w:hanging="360"/>
      </w:pPr>
      <w:rPr>
        <w:rFonts w:ascii="Arial" w:hAnsi="Arial" w:hint="default"/>
      </w:rPr>
    </w:lvl>
    <w:lvl w:ilvl="1" w:tplc="A770FF1E" w:tentative="1">
      <w:start w:val="1"/>
      <w:numFmt w:val="bullet"/>
      <w:lvlText w:val="•"/>
      <w:lvlJc w:val="left"/>
      <w:pPr>
        <w:tabs>
          <w:tab w:val="num" w:pos="1440"/>
        </w:tabs>
        <w:ind w:left="1440" w:hanging="360"/>
      </w:pPr>
      <w:rPr>
        <w:rFonts w:ascii="Arial" w:hAnsi="Arial" w:hint="default"/>
      </w:rPr>
    </w:lvl>
    <w:lvl w:ilvl="2" w:tplc="D06C3ED4" w:tentative="1">
      <w:start w:val="1"/>
      <w:numFmt w:val="bullet"/>
      <w:lvlText w:val="•"/>
      <w:lvlJc w:val="left"/>
      <w:pPr>
        <w:tabs>
          <w:tab w:val="num" w:pos="2160"/>
        </w:tabs>
        <w:ind w:left="2160" w:hanging="360"/>
      </w:pPr>
      <w:rPr>
        <w:rFonts w:ascii="Arial" w:hAnsi="Arial" w:hint="default"/>
      </w:rPr>
    </w:lvl>
    <w:lvl w:ilvl="3" w:tplc="CB60CB62" w:tentative="1">
      <w:start w:val="1"/>
      <w:numFmt w:val="bullet"/>
      <w:lvlText w:val="•"/>
      <w:lvlJc w:val="left"/>
      <w:pPr>
        <w:tabs>
          <w:tab w:val="num" w:pos="2880"/>
        </w:tabs>
        <w:ind w:left="2880" w:hanging="360"/>
      </w:pPr>
      <w:rPr>
        <w:rFonts w:ascii="Arial" w:hAnsi="Arial" w:hint="default"/>
      </w:rPr>
    </w:lvl>
    <w:lvl w:ilvl="4" w:tplc="F5BA6DEC" w:tentative="1">
      <w:start w:val="1"/>
      <w:numFmt w:val="bullet"/>
      <w:lvlText w:val="•"/>
      <w:lvlJc w:val="left"/>
      <w:pPr>
        <w:tabs>
          <w:tab w:val="num" w:pos="3600"/>
        </w:tabs>
        <w:ind w:left="3600" w:hanging="360"/>
      </w:pPr>
      <w:rPr>
        <w:rFonts w:ascii="Arial" w:hAnsi="Arial" w:hint="default"/>
      </w:rPr>
    </w:lvl>
    <w:lvl w:ilvl="5" w:tplc="64A8FF5E" w:tentative="1">
      <w:start w:val="1"/>
      <w:numFmt w:val="bullet"/>
      <w:lvlText w:val="•"/>
      <w:lvlJc w:val="left"/>
      <w:pPr>
        <w:tabs>
          <w:tab w:val="num" w:pos="4320"/>
        </w:tabs>
        <w:ind w:left="4320" w:hanging="360"/>
      </w:pPr>
      <w:rPr>
        <w:rFonts w:ascii="Arial" w:hAnsi="Arial" w:hint="default"/>
      </w:rPr>
    </w:lvl>
    <w:lvl w:ilvl="6" w:tplc="759AFDE4" w:tentative="1">
      <w:start w:val="1"/>
      <w:numFmt w:val="bullet"/>
      <w:lvlText w:val="•"/>
      <w:lvlJc w:val="left"/>
      <w:pPr>
        <w:tabs>
          <w:tab w:val="num" w:pos="5040"/>
        </w:tabs>
        <w:ind w:left="5040" w:hanging="360"/>
      </w:pPr>
      <w:rPr>
        <w:rFonts w:ascii="Arial" w:hAnsi="Arial" w:hint="default"/>
      </w:rPr>
    </w:lvl>
    <w:lvl w:ilvl="7" w:tplc="ABF675FA" w:tentative="1">
      <w:start w:val="1"/>
      <w:numFmt w:val="bullet"/>
      <w:lvlText w:val="•"/>
      <w:lvlJc w:val="left"/>
      <w:pPr>
        <w:tabs>
          <w:tab w:val="num" w:pos="5760"/>
        </w:tabs>
        <w:ind w:left="5760" w:hanging="360"/>
      </w:pPr>
      <w:rPr>
        <w:rFonts w:ascii="Arial" w:hAnsi="Arial" w:hint="default"/>
      </w:rPr>
    </w:lvl>
    <w:lvl w:ilvl="8" w:tplc="8870C6C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7C21A45"/>
    <w:multiLevelType w:val="hybridMultilevel"/>
    <w:tmpl w:val="FA40361A"/>
    <w:lvl w:ilvl="0" w:tplc="11BEEB54">
      <w:start w:val="1"/>
      <w:numFmt w:val="decimal"/>
      <w:lvlText w:val="%1."/>
      <w:lvlJc w:val="left"/>
      <w:pPr>
        <w:tabs>
          <w:tab w:val="num" w:pos="720"/>
        </w:tabs>
        <w:ind w:left="720" w:hanging="360"/>
      </w:pPr>
    </w:lvl>
    <w:lvl w:ilvl="1" w:tplc="79123A5C" w:tentative="1">
      <w:start w:val="1"/>
      <w:numFmt w:val="decimal"/>
      <w:lvlText w:val="%2."/>
      <w:lvlJc w:val="left"/>
      <w:pPr>
        <w:tabs>
          <w:tab w:val="num" w:pos="1440"/>
        </w:tabs>
        <w:ind w:left="1440" w:hanging="360"/>
      </w:pPr>
    </w:lvl>
    <w:lvl w:ilvl="2" w:tplc="257446C6" w:tentative="1">
      <w:start w:val="1"/>
      <w:numFmt w:val="decimal"/>
      <w:lvlText w:val="%3."/>
      <w:lvlJc w:val="left"/>
      <w:pPr>
        <w:tabs>
          <w:tab w:val="num" w:pos="2160"/>
        </w:tabs>
        <w:ind w:left="2160" w:hanging="360"/>
      </w:pPr>
    </w:lvl>
    <w:lvl w:ilvl="3" w:tplc="7D42DBC8" w:tentative="1">
      <w:start w:val="1"/>
      <w:numFmt w:val="decimal"/>
      <w:lvlText w:val="%4."/>
      <w:lvlJc w:val="left"/>
      <w:pPr>
        <w:tabs>
          <w:tab w:val="num" w:pos="2880"/>
        </w:tabs>
        <w:ind w:left="2880" w:hanging="360"/>
      </w:pPr>
    </w:lvl>
    <w:lvl w:ilvl="4" w:tplc="07103B16" w:tentative="1">
      <w:start w:val="1"/>
      <w:numFmt w:val="decimal"/>
      <w:lvlText w:val="%5."/>
      <w:lvlJc w:val="left"/>
      <w:pPr>
        <w:tabs>
          <w:tab w:val="num" w:pos="3600"/>
        </w:tabs>
        <w:ind w:left="3600" w:hanging="360"/>
      </w:pPr>
    </w:lvl>
    <w:lvl w:ilvl="5" w:tplc="3F586296" w:tentative="1">
      <w:start w:val="1"/>
      <w:numFmt w:val="decimal"/>
      <w:lvlText w:val="%6."/>
      <w:lvlJc w:val="left"/>
      <w:pPr>
        <w:tabs>
          <w:tab w:val="num" w:pos="4320"/>
        </w:tabs>
        <w:ind w:left="4320" w:hanging="360"/>
      </w:pPr>
    </w:lvl>
    <w:lvl w:ilvl="6" w:tplc="9E92E676" w:tentative="1">
      <w:start w:val="1"/>
      <w:numFmt w:val="decimal"/>
      <w:lvlText w:val="%7."/>
      <w:lvlJc w:val="left"/>
      <w:pPr>
        <w:tabs>
          <w:tab w:val="num" w:pos="5040"/>
        </w:tabs>
        <w:ind w:left="5040" w:hanging="360"/>
      </w:pPr>
    </w:lvl>
    <w:lvl w:ilvl="7" w:tplc="0456C308" w:tentative="1">
      <w:start w:val="1"/>
      <w:numFmt w:val="decimal"/>
      <w:lvlText w:val="%8."/>
      <w:lvlJc w:val="left"/>
      <w:pPr>
        <w:tabs>
          <w:tab w:val="num" w:pos="5760"/>
        </w:tabs>
        <w:ind w:left="5760" w:hanging="360"/>
      </w:pPr>
    </w:lvl>
    <w:lvl w:ilvl="8" w:tplc="87CC1CB6" w:tentative="1">
      <w:start w:val="1"/>
      <w:numFmt w:val="decimal"/>
      <w:lvlText w:val="%9."/>
      <w:lvlJc w:val="left"/>
      <w:pPr>
        <w:tabs>
          <w:tab w:val="num" w:pos="6480"/>
        </w:tabs>
        <w:ind w:left="6480" w:hanging="360"/>
      </w:pPr>
    </w:lvl>
  </w:abstractNum>
  <w:abstractNum w:abstractNumId="6" w15:restartNumberingAfterBreak="0">
    <w:nsid w:val="4E235003"/>
    <w:multiLevelType w:val="hybridMultilevel"/>
    <w:tmpl w:val="836AECB2"/>
    <w:lvl w:ilvl="0" w:tplc="EF682E10">
      <w:start w:val="1"/>
      <w:numFmt w:val="bullet"/>
      <w:lvlText w:val="•"/>
      <w:lvlJc w:val="left"/>
      <w:pPr>
        <w:tabs>
          <w:tab w:val="num" w:pos="720"/>
        </w:tabs>
        <w:ind w:left="720" w:hanging="360"/>
      </w:pPr>
      <w:rPr>
        <w:rFonts w:ascii="Arial" w:hAnsi="Arial" w:hint="default"/>
      </w:rPr>
    </w:lvl>
    <w:lvl w:ilvl="1" w:tplc="7206C58A">
      <w:numFmt w:val="bullet"/>
      <w:lvlText w:val="•"/>
      <w:lvlJc w:val="left"/>
      <w:pPr>
        <w:tabs>
          <w:tab w:val="num" w:pos="1440"/>
        </w:tabs>
        <w:ind w:left="1440" w:hanging="360"/>
      </w:pPr>
      <w:rPr>
        <w:rFonts w:ascii="Arial" w:hAnsi="Arial" w:hint="default"/>
      </w:rPr>
    </w:lvl>
    <w:lvl w:ilvl="2" w:tplc="C98A6C34" w:tentative="1">
      <w:start w:val="1"/>
      <w:numFmt w:val="bullet"/>
      <w:lvlText w:val="•"/>
      <w:lvlJc w:val="left"/>
      <w:pPr>
        <w:tabs>
          <w:tab w:val="num" w:pos="2160"/>
        </w:tabs>
        <w:ind w:left="2160" w:hanging="360"/>
      </w:pPr>
      <w:rPr>
        <w:rFonts w:ascii="Arial" w:hAnsi="Arial" w:hint="default"/>
      </w:rPr>
    </w:lvl>
    <w:lvl w:ilvl="3" w:tplc="85F48BA8" w:tentative="1">
      <w:start w:val="1"/>
      <w:numFmt w:val="bullet"/>
      <w:lvlText w:val="•"/>
      <w:lvlJc w:val="left"/>
      <w:pPr>
        <w:tabs>
          <w:tab w:val="num" w:pos="2880"/>
        </w:tabs>
        <w:ind w:left="2880" w:hanging="360"/>
      </w:pPr>
      <w:rPr>
        <w:rFonts w:ascii="Arial" w:hAnsi="Arial" w:hint="default"/>
      </w:rPr>
    </w:lvl>
    <w:lvl w:ilvl="4" w:tplc="3D0A1FF8" w:tentative="1">
      <w:start w:val="1"/>
      <w:numFmt w:val="bullet"/>
      <w:lvlText w:val="•"/>
      <w:lvlJc w:val="left"/>
      <w:pPr>
        <w:tabs>
          <w:tab w:val="num" w:pos="3600"/>
        </w:tabs>
        <w:ind w:left="3600" w:hanging="360"/>
      </w:pPr>
      <w:rPr>
        <w:rFonts w:ascii="Arial" w:hAnsi="Arial" w:hint="default"/>
      </w:rPr>
    </w:lvl>
    <w:lvl w:ilvl="5" w:tplc="C6C639A2" w:tentative="1">
      <w:start w:val="1"/>
      <w:numFmt w:val="bullet"/>
      <w:lvlText w:val="•"/>
      <w:lvlJc w:val="left"/>
      <w:pPr>
        <w:tabs>
          <w:tab w:val="num" w:pos="4320"/>
        </w:tabs>
        <w:ind w:left="4320" w:hanging="360"/>
      </w:pPr>
      <w:rPr>
        <w:rFonts w:ascii="Arial" w:hAnsi="Arial" w:hint="default"/>
      </w:rPr>
    </w:lvl>
    <w:lvl w:ilvl="6" w:tplc="6FACB4E6" w:tentative="1">
      <w:start w:val="1"/>
      <w:numFmt w:val="bullet"/>
      <w:lvlText w:val="•"/>
      <w:lvlJc w:val="left"/>
      <w:pPr>
        <w:tabs>
          <w:tab w:val="num" w:pos="5040"/>
        </w:tabs>
        <w:ind w:left="5040" w:hanging="360"/>
      </w:pPr>
      <w:rPr>
        <w:rFonts w:ascii="Arial" w:hAnsi="Arial" w:hint="default"/>
      </w:rPr>
    </w:lvl>
    <w:lvl w:ilvl="7" w:tplc="827A2AEE" w:tentative="1">
      <w:start w:val="1"/>
      <w:numFmt w:val="bullet"/>
      <w:lvlText w:val="•"/>
      <w:lvlJc w:val="left"/>
      <w:pPr>
        <w:tabs>
          <w:tab w:val="num" w:pos="5760"/>
        </w:tabs>
        <w:ind w:left="5760" w:hanging="360"/>
      </w:pPr>
      <w:rPr>
        <w:rFonts w:ascii="Arial" w:hAnsi="Arial" w:hint="default"/>
      </w:rPr>
    </w:lvl>
    <w:lvl w:ilvl="8" w:tplc="310849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F91097D"/>
    <w:multiLevelType w:val="hybridMultilevel"/>
    <w:tmpl w:val="7A744018"/>
    <w:lvl w:ilvl="0" w:tplc="56042E10">
      <w:start w:val="1"/>
      <w:numFmt w:val="bullet"/>
      <w:lvlText w:val="•"/>
      <w:lvlJc w:val="left"/>
      <w:pPr>
        <w:tabs>
          <w:tab w:val="num" w:pos="720"/>
        </w:tabs>
        <w:ind w:left="720" w:hanging="360"/>
      </w:pPr>
      <w:rPr>
        <w:rFonts w:ascii="Arial" w:hAnsi="Arial" w:hint="default"/>
      </w:rPr>
    </w:lvl>
    <w:lvl w:ilvl="1" w:tplc="6F8A93AA" w:tentative="1">
      <w:start w:val="1"/>
      <w:numFmt w:val="bullet"/>
      <w:lvlText w:val="•"/>
      <w:lvlJc w:val="left"/>
      <w:pPr>
        <w:tabs>
          <w:tab w:val="num" w:pos="1440"/>
        </w:tabs>
        <w:ind w:left="1440" w:hanging="360"/>
      </w:pPr>
      <w:rPr>
        <w:rFonts w:ascii="Arial" w:hAnsi="Arial" w:hint="default"/>
      </w:rPr>
    </w:lvl>
    <w:lvl w:ilvl="2" w:tplc="54F23E80" w:tentative="1">
      <w:start w:val="1"/>
      <w:numFmt w:val="bullet"/>
      <w:lvlText w:val="•"/>
      <w:lvlJc w:val="left"/>
      <w:pPr>
        <w:tabs>
          <w:tab w:val="num" w:pos="2160"/>
        </w:tabs>
        <w:ind w:left="2160" w:hanging="360"/>
      </w:pPr>
      <w:rPr>
        <w:rFonts w:ascii="Arial" w:hAnsi="Arial" w:hint="default"/>
      </w:rPr>
    </w:lvl>
    <w:lvl w:ilvl="3" w:tplc="1E92331A" w:tentative="1">
      <w:start w:val="1"/>
      <w:numFmt w:val="bullet"/>
      <w:lvlText w:val="•"/>
      <w:lvlJc w:val="left"/>
      <w:pPr>
        <w:tabs>
          <w:tab w:val="num" w:pos="2880"/>
        </w:tabs>
        <w:ind w:left="2880" w:hanging="360"/>
      </w:pPr>
      <w:rPr>
        <w:rFonts w:ascii="Arial" w:hAnsi="Arial" w:hint="default"/>
      </w:rPr>
    </w:lvl>
    <w:lvl w:ilvl="4" w:tplc="E21257BA" w:tentative="1">
      <w:start w:val="1"/>
      <w:numFmt w:val="bullet"/>
      <w:lvlText w:val="•"/>
      <w:lvlJc w:val="left"/>
      <w:pPr>
        <w:tabs>
          <w:tab w:val="num" w:pos="3600"/>
        </w:tabs>
        <w:ind w:left="3600" w:hanging="360"/>
      </w:pPr>
      <w:rPr>
        <w:rFonts w:ascii="Arial" w:hAnsi="Arial" w:hint="default"/>
      </w:rPr>
    </w:lvl>
    <w:lvl w:ilvl="5" w:tplc="076C3AE6" w:tentative="1">
      <w:start w:val="1"/>
      <w:numFmt w:val="bullet"/>
      <w:lvlText w:val="•"/>
      <w:lvlJc w:val="left"/>
      <w:pPr>
        <w:tabs>
          <w:tab w:val="num" w:pos="4320"/>
        </w:tabs>
        <w:ind w:left="4320" w:hanging="360"/>
      </w:pPr>
      <w:rPr>
        <w:rFonts w:ascii="Arial" w:hAnsi="Arial" w:hint="default"/>
      </w:rPr>
    </w:lvl>
    <w:lvl w:ilvl="6" w:tplc="E4BEF684" w:tentative="1">
      <w:start w:val="1"/>
      <w:numFmt w:val="bullet"/>
      <w:lvlText w:val="•"/>
      <w:lvlJc w:val="left"/>
      <w:pPr>
        <w:tabs>
          <w:tab w:val="num" w:pos="5040"/>
        </w:tabs>
        <w:ind w:left="5040" w:hanging="360"/>
      </w:pPr>
      <w:rPr>
        <w:rFonts w:ascii="Arial" w:hAnsi="Arial" w:hint="default"/>
      </w:rPr>
    </w:lvl>
    <w:lvl w:ilvl="7" w:tplc="CC9C263A" w:tentative="1">
      <w:start w:val="1"/>
      <w:numFmt w:val="bullet"/>
      <w:lvlText w:val="•"/>
      <w:lvlJc w:val="left"/>
      <w:pPr>
        <w:tabs>
          <w:tab w:val="num" w:pos="5760"/>
        </w:tabs>
        <w:ind w:left="5760" w:hanging="360"/>
      </w:pPr>
      <w:rPr>
        <w:rFonts w:ascii="Arial" w:hAnsi="Arial" w:hint="default"/>
      </w:rPr>
    </w:lvl>
    <w:lvl w:ilvl="8" w:tplc="09AA3D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5F372F6"/>
    <w:multiLevelType w:val="hybridMultilevel"/>
    <w:tmpl w:val="56324940"/>
    <w:lvl w:ilvl="0" w:tplc="4CC6DE50">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4"/>
  </w:num>
  <w:num w:numId="4">
    <w:abstractNumId w:val="8"/>
  </w:num>
  <w:num w:numId="5">
    <w:abstractNumId w:val="11"/>
  </w:num>
  <w:num w:numId="6">
    <w:abstractNumId w:val="1"/>
  </w:num>
  <w:num w:numId="7">
    <w:abstractNumId w:val="10"/>
  </w:num>
  <w:num w:numId="8">
    <w:abstractNumId w:val="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7"/>
  </w:num>
  <w:num w:numId="1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11"/>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45"/>
    <w:rsid w:val="000109E6"/>
    <w:rsid w:val="00011F67"/>
    <w:rsid w:val="00012862"/>
    <w:rsid w:val="000128E6"/>
    <w:rsid w:val="0001538E"/>
    <w:rsid w:val="00015EFB"/>
    <w:rsid w:val="000165E2"/>
    <w:rsid w:val="00016FEA"/>
    <w:rsid w:val="000172BE"/>
    <w:rsid w:val="00017D8A"/>
    <w:rsid w:val="00023388"/>
    <w:rsid w:val="00023425"/>
    <w:rsid w:val="000238CC"/>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6FA7"/>
    <w:rsid w:val="00057DC8"/>
    <w:rsid w:val="000612E1"/>
    <w:rsid w:val="000614FE"/>
    <w:rsid w:val="000628D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74F"/>
    <w:rsid w:val="00087913"/>
    <w:rsid w:val="0009006D"/>
    <w:rsid w:val="000902DC"/>
    <w:rsid w:val="000911AE"/>
    <w:rsid w:val="00093697"/>
    <w:rsid w:val="00093D42"/>
    <w:rsid w:val="00093DD0"/>
    <w:rsid w:val="00094A16"/>
    <w:rsid w:val="00094DE6"/>
    <w:rsid w:val="00096356"/>
    <w:rsid w:val="00096B59"/>
    <w:rsid w:val="00097C99"/>
    <w:rsid w:val="000A0CA6"/>
    <w:rsid w:val="000A0F14"/>
    <w:rsid w:val="000A1441"/>
    <w:rsid w:val="000A1A06"/>
    <w:rsid w:val="000A1B60"/>
    <w:rsid w:val="000A21B4"/>
    <w:rsid w:val="000A2CC7"/>
    <w:rsid w:val="000A2ED6"/>
    <w:rsid w:val="000A4205"/>
    <w:rsid w:val="000A4A19"/>
    <w:rsid w:val="000A6351"/>
    <w:rsid w:val="000A63D6"/>
    <w:rsid w:val="000A7B38"/>
    <w:rsid w:val="000B0343"/>
    <w:rsid w:val="000B0649"/>
    <w:rsid w:val="000B2985"/>
    <w:rsid w:val="000B2C88"/>
    <w:rsid w:val="000B3342"/>
    <w:rsid w:val="000B34B7"/>
    <w:rsid w:val="000B51FA"/>
    <w:rsid w:val="000B5905"/>
    <w:rsid w:val="000B5975"/>
    <w:rsid w:val="000B6E2C"/>
    <w:rsid w:val="000B701A"/>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1E49"/>
    <w:rsid w:val="000D21DB"/>
    <w:rsid w:val="000D22CC"/>
    <w:rsid w:val="000D36AE"/>
    <w:rsid w:val="000D38A1"/>
    <w:rsid w:val="000D4C4E"/>
    <w:rsid w:val="000D5077"/>
    <w:rsid w:val="000D5362"/>
    <w:rsid w:val="000D57F8"/>
    <w:rsid w:val="000D5851"/>
    <w:rsid w:val="000D5C60"/>
    <w:rsid w:val="000D6B22"/>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17ED"/>
    <w:rsid w:val="001024DC"/>
    <w:rsid w:val="001026CA"/>
    <w:rsid w:val="001043C2"/>
    <w:rsid w:val="001043E1"/>
    <w:rsid w:val="0010505A"/>
    <w:rsid w:val="00105CC7"/>
    <w:rsid w:val="00107779"/>
    <w:rsid w:val="001078C2"/>
    <w:rsid w:val="00107E1C"/>
    <w:rsid w:val="00110243"/>
    <w:rsid w:val="0011059A"/>
    <w:rsid w:val="001112C4"/>
    <w:rsid w:val="00111444"/>
    <w:rsid w:val="00111723"/>
    <w:rsid w:val="001129B5"/>
    <w:rsid w:val="00112BE6"/>
    <w:rsid w:val="001141E3"/>
    <w:rsid w:val="001144DF"/>
    <w:rsid w:val="0011524E"/>
    <w:rsid w:val="0011557B"/>
    <w:rsid w:val="00117C85"/>
    <w:rsid w:val="00120B13"/>
    <w:rsid w:val="0012183D"/>
    <w:rsid w:val="00123197"/>
    <w:rsid w:val="00123FFC"/>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028"/>
    <w:rsid w:val="00164A77"/>
    <w:rsid w:val="00164DAB"/>
    <w:rsid w:val="00165BBB"/>
    <w:rsid w:val="0016613F"/>
    <w:rsid w:val="00166215"/>
    <w:rsid w:val="00166591"/>
    <w:rsid w:val="00171143"/>
    <w:rsid w:val="00171426"/>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2D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2D"/>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2F3D"/>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62AF"/>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1FE5"/>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69F"/>
    <w:rsid w:val="00213830"/>
    <w:rsid w:val="00213E03"/>
    <w:rsid w:val="002140FF"/>
    <w:rsid w:val="002163C3"/>
    <w:rsid w:val="00220894"/>
    <w:rsid w:val="0022484B"/>
    <w:rsid w:val="00224952"/>
    <w:rsid w:val="00224DD2"/>
    <w:rsid w:val="00225A6A"/>
    <w:rsid w:val="00225AC7"/>
    <w:rsid w:val="00225ACC"/>
    <w:rsid w:val="00230FF5"/>
    <w:rsid w:val="00231C25"/>
    <w:rsid w:val="00231C6F"/>
    <w:rsid w:val="00232A90"/>
    <w:rsid w:val="0023348C"/>
    <w:rsid w:val="00234151"/>
    <w:rsid w:val="00234F8C"/>
    <w:rsid w:val="00235542"/>
    <w:rsid w:val="002369B0"/>
    <w:rsid w:val="00236AD8"/>
    <w:rsid w:val="00237FCA"/>
    <w:rsid w:val="002401F5"/>
    <w:rsid w:val="0024021F"/>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1C98"/>
    <w:rsid w:val="0026248E"/>
    <w:rsid w:val="00262914"/>
    <w:rsid w:val="00262E57"/>
    <w:rsid w:val="002647BF"/>
    <w:rsid w:val="002647D5"/>
    <w:rsid w:val="00265032"/>
    <w:rsid w:val="002651FB"/>
    <w:rsid w:val="0026538C"/>
    <w:rsid w:val="00265781"/>
    <w:rsid w:val="00266B13"/>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878E1"/>
    <w:rsid w:val="00290647"/>
    <w:rsid w:val="00290A98"/>
    <w:rsid w:val="00291385"/>
    <w:rsid w:val="00291422"/>
    <w:rsid w:val="0029237F"/>
    <w:rsid w:val="00292715"/>
    <w:rsid w:val="002932DB"/>
    <w:rsid w:val="00293E26"/>
    <w:rsid w:val="00293E57"/>
    <w:rsid w:val="00294379"/>
    <w:rsid w:val="002947D1"/>
    <w:rsid w:val="002948DF"/>
    <w:rsid w:val="00294D90"/>
    <w:rsid w:val="002A1E92"/>
    <w:rsid w:val="002A204D"/>
    <w:rsid w:val="002A2616"/>
    <w:rsid w:val="002A26E1"/>
    <w:rsid w:val="002A368A"/>
    <w:rsid w:val="002A4065"/>
    <w:rsid w:val="002A4107"/>
    <w:rsid w:val="002A59F0"/>
    <w:rsid w:val="002A6432"/>
    <w:rsid w:val="002A6F25"/>
    <w:rsid w:val="002A6FD3"/>
    <w:rsid w:val="002B0A7D"/>
    <w:rsid w:val="002B1A69"/>
    <w:rsid w:val="002B2723"/>
    <w:rsid w:val="002B303A"/>
    <w:rsid w:val="002B4602"/>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E0319"/>
    <w:rsid w:val="002E0467"/>
    <w:rsid w:val="002E13F0"/>
    <w:rsid w:val="002E179B"/>
    <w:rsid w:val="002E1C9E"/>
    <w:rsid w:val="002E257B"/>
    <w:rsid w:val="002E3C65"/>
    <w:rsid w:val="002E3F5B"/>
    <w:rsid w:val="002E42D9"/>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2FCF"/>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72E"/>
    <w:rsid w:val="00385B05"/>
    <w:rsid w:val="00386382"/>
    <w:rsid w:val="0038655F"/>
    <w:rsid w:val="003865EF"/>
    <w:rsid w:val="00386BA9"/>
    <w:rsid w:val="00386CC3"/>
    <w:rsid w:val="00390017"/>
    <w:rsid w:val="003901A3"/>
    <w:rsid w:val="0039072F"/>
    <w:rsid w:val="00393891"/>
    <w:rsid w:val="003940CE"/>
    <w:rsid w:val="00395894"/>
    <w:rsid w:val="00397C1D"/>
    <w:rsid w:val="00397C94"/>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21B"/>
    <w:rsid w:val="003C25AD"/>
    <w:rsid w:val="003C2A48"/>
    <w:rsid w:val="003C2D21"/>
    <w:rsid w:val="003C2D53"/>
    <w:rsid w:val="003C5E6B"/>
    <w:rsid w:val="003C7AD7"/>
    <w:rsid w:val="003D0FC3"/>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77B"/>
    <w:rsid w:val="00465EBA"/>
    <w:rsid w:val="004664F4"/>
    <w:rsid w:val="00466532"/>
    <w:rsid w:val="00466743"/>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0DF4"/>
    <w:rsid w:val="0049141C"/>
    <w:rsid w:val="0049144D"/>
    <w:rsid w:val="004926D1"/>
    <w:rsid w:val="00494242"/>
    <w:rsid w:val="00494E8E"/>
    <w:rsid w:val="004955BC"/>
    <w:rsid w:val="00495D63"/>
    <w:rsid w:val="0049648F"/>
    <w:rsid w:val="00496606"/>
    <w:rsid w:val="00496F05"/>
    <w:rsid w:val="00497370"/>
    <w:rsid w:val="004A0F39"/>
    <w:rsid w:val="004A220C"/>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9E6"/>
    <w:rsid w:val="004B4D69"/>
    <w:rsid w:val="004C01A8"/>
    <w:rsid w:val="004C1840"/>
    <w:rsid w:val="004C24C9"/>
    <w:rsid w:val="004C2CBB"/>
    <w:rsid w:val="004C31B6"/>
    <w:rsid w:val="004C5319"/>
    <w:rsid w:val="004C621F"/>
    <w:rsid w:val="004C6C97"/>
    <w:rsid w:val="004C7948"/>
    <w:rsid w:val="004C7BB8"/>
    <w:rsid w:val="004C7C60"/>
    <w:rsid w:val="004D0DFE"/>
    <w:rsid w:val="004D1D91"/>
    <w:rsid w:val="004D22C3"/>
    <w:rsid w:val="004D4E5A"/>
    <w:rsid w:val="004D6F4D"/>
    <w:rsid w:val="004D6F95"/>
    <w:rsid w:val="004D72FE"/>
    <w:rsid w:val="004D7E91"/>
    <w:rsid w:val="004E003A"/>
    <w:rsid w:val="004E0768"/>
    <w:rsid w:val="004E1A31"/>
    <w:rsid w:val="004E22B7"/>
    <w:rsid w:val="004E2C55"/>
    <w:rsid w:val="004E2DE0"/>
    <w:rsid w:val="004E3617"/>
    <w:rsid w:val="004E4060"/>
    <w:rsid w:val="004E409A"/>
    <w:rsid w:val="004E6341"/>
    <w:rsid w:val="004F0CF7"/>
    <w:rsid w:val="004F0FB9"/>
    <w:rsid w:val="004F2F7E"/>
    <w:rsid w:val="004F32B5"/>
    <w:rsid w:val="004F37D8"/>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23B0"/>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7200"/>
    <w:rsid w:val="00530157"/>
    <w:rsid w:val="00531314"/>
    <w:rsid w:val="00531EBE"/>
    <w:rsid w:val="005329BC"/>
    <w:rsid w:val="00532F8B"/>
    <w:rsid w:val="00533281"/>
    <w:rsid w:val="00533737"/>
    <w:rsid w:val="00535B79"/>
    <w:rsid w:val="00535D7C"/>
    <w:rsid w:val="00536579"/>
    <w:rsid w:val="00536C1E"/>
    <w:rsid w:val="00536C40"/>
    <w:rsid w:val="00536F1E"/>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4D87"/>
    <w:rsid w:val="005B5D0E"/>
    <w:rsid w:val="005B5D66"/>
    <w:rsid w:val="005B7DD1"/>
    <w:rsid w:val="005C00A0"/>
    <w:rsid w:val="005C0A0C"/>
    <w:rsid w:val="005C1E22"/>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2BD2"/>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632A"/>
    <w:rsid w:val="0066732C"/>
    <w:rsid w:val="0066734D"/>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CF1"/>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07"/>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166"/>
    <w:rsid w:val="00731E7C"/>
    <w:rsid w:val="007329EF"/>
    <w:rsid w:val="0073310D"/>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0914"/>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3D3B"/>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8A8"/>
    <w:rsid w:val="00806AAF"/>
    <w:rsid w:val="008070AC"/>
    <w:rsid w:val="008101FD"/>
    <w:rsid w:val="00810D8D"/>
    <w:rsid w:val="00811555"/>
    <w:rsid w:val="00811835"/>
    <w:rsid w:val="00814E03"/>
    <w:rsid w:val="0081581D"/>
    <w:rsid w:val="008172BE"/>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4442"/>
    <w:rsid w:val="00845C12"/>
    <w:rsid w:val="008469D9"/>
    <w:rsid w:val="00846DC0"/>
    <w:rsid w:val="0084719E"/>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2DF"/>
    <w:rsid w:val="008D35E9"/>
    <w:rsid w:val="008D390A"/>
    <w:rsid w:val="008D3959"/>
    <w:rsid w:val="008D3966"/>
    <w:rsid w:val="008D4352"/>
    <w:rsid w:val="008D60BC"/>
    <w:rsid w:val="008D6D7B"/>
    <w:rsid w:val="008D7EB7"/>
    <w:rsid w:val="008E0EB8"/>
    <w:rsid w:val="008E10A6"/>
    <w:rsid w:val="008E1271"/>
    <w:rsid w:val="008E2251"/>
    <w:rsid w:val="008E24B3"/>
    <w:rsid w:val="008E24CA"/>
    <w:rsid w:val="008E2536"/>
    <w:rsid w:val="008E2F6E"/>
    <w:rsid w:val="008E38AD"/>
    <w:rsid w:val="008E3EEC"/>
    <w:rsid w:val="008E5BF2"/>
    <w:rsid w:val="008E5C81"/>
    <w:rsid w:val="008F0A38"/>
    <w:rsid w:val="008F0F84"/>
    <w:rsid w:val="008F1014"/>
    <w:rsid w:val="008F11C9"/>
    <w:rsid w:val="008F1350"/>
    <w:rsid w:val="008F1951"/>
    <w:rsid w:val="008F23D8"/>
    <w:rsid w:val="008F2FD5"/>
    <w:rsid w:val="008F37E5"/>
    <w:rsid w:val="008F39E7"/>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27E"/>
    <w:rsid w:val="00915757"/>
    <w:rsid w:val="009159B3"/>
    <w:rsid w:val="00916181"/>
    <w:rsid w:val="009204C5"/>
    <w:rsid w:val="0092097E"/>
    <w:rsid w:val="009210A8"/>
    <w:rsid w:val="0092180D"/>
    <w:rsid w:val="009232C9"/>
    <w:rsid w:val="00923608"/>
    <w:rsid w:val="009238E5"/>
    <w:rsid w:val="00923F12"/>
    <w:rsid w:val="00924FAF"/>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318"/>
    <w:rsid w:val="009435F2"/>
    <w:rsid w:val="00945180"/>
    <w:rsid w:val="00945319"/>
    <w:rsid w:val="0094590C"/>
    <w:rsid w:val="0094624F"/>
    <w:rsid w:val="00946331"/>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4F53"/>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C0074"/>
    <w:rsid w:val="009C0564"/>
    <w:rsid w:val="009C0820"/>
    <w:rsid w:val="009C1FA8"/>
    <w:rsid w:val="009C2685"/>
    <w:rsid w:val="009C39BC"/>
    <w:rsid w:val="009C4BC2"/>
    <w:rsid w:val="009C4D22"/>
    <w:rsid w:val="009C7320"/>
    <w:rsid w:val="009D0729"/>
    <w:rsid w:val="009D0F66"/>
    <w:rsid w:val="009D1A06"/>
    <w:rsid w:val="009D1BA4"/>
    <w:rsid w:val="009D22E4"/>
    <w:rsid w:val="009D22F7"/>
    <w:rsid w:val="009D3032"/>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291D"/>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924"/>
    <w:rsid w:val="00A63BF3"/>
    <w:rsid w:val="00A63F41"/>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9B2"/>
    <w:rsid w:val="00A83E3D"/>
    <w:rsid w:val="00A840AE"/>
    <w:rsid w:val="00A8443A"/>
    <w:rsid w:val="00A8479C"/>
    <w:rsid w:val="00A8557B"/>
    <w:rsid w:val="00A85A05"/>
    <w:rsid w:val="00A86D63"/>
    <w:rsid w:val="00A87797"/>
    <w:rsid w:val="00A90E72"/>
    <w:rsid w:val="00A922A2"/>
    <w:rsid w:val="00A92EFA"/>
    <w:rsid w:val="00A9327B"/>
    <w:rsid w:val="00A93B69"/>
    <w:rsid w:val="00A9536F"/>
    <w:rsid w:val="00A963C7"/>
    <w:rsid w:val="00A96CDC"/>
    <w:rsid w:val="00AA0EA6"/>
    <w:rsid w:val="00AA1626"/>
    <w:rsid w:val="00AA1C25"/>
    <w:rsid w:val="00AA3DB7"/>
    <w:rsid w:val="00AA51F5"/>
    <w:rsid w:val="00AA5E3B"/>
    <w:rsid w:val="00AA6859"/>
    <w:rsid w:val="00AA68B4"/>
    <w:rsid w:val="00AB0543"/>
    <w:rsid w:val="00AB0AC9"/>
    <w:rsid w:val="00AB185A"/>
    <w:rsid w:val="00AB1BA7"/>
    <w:rsid w:val="00AB1E04"/>
    <w:rsid w:val="00AB1F07"/>
    <w:rsid w:val="00AB29CF"/>
    <w:rsid w:val="00AB3113"/>
    <w:rsid w:val="00AB348A"/>
    <w:rsid w:val="00AB3F38"/>
    <w:rsid w:val="00AB43EC"/>
    <w:rsid w:val="00AB43EF"/>
    <w:rsid w:val="00AB46AE"/>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5F59"/>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71C0"/>
    <w:rsid w:val="00B07F71"/>
    <w:rsid w:val="00B10558"/>
    <w:rsid w:val="00B13148"/>
    <w:rsid w:val="00B156A9"/>
    <w:rsid w:val="00B15F83"/>
    <w:rsid w:val="00B160FF"/>
    <w:rsid w:val="00B16322"/>
    <w:rsid w:val="00B1662E"/>
    <w:rsid w:val="00B16A6F"/>
    <w:rsid w:val="00B22C0D"/>
    <w:rsid w:val="00B23AF4"/>
    <w:rsid w:val="00B23C15"/>
    <w:rsid w:val="00B24CDE"/>
    <w:rsid w:val="00B25762"/>
    <w:rsid w:val="00B25B40"/>
    <w:rsid w:val="00B25EA7"/>
    <w:rsid w:val="00B25FDE"/>
    <w:rsid w:val="00B26AB0"/>
    <w:rsid w:val="00B26AD2"/>
    <w:rsid w:val="00B26CA2"/>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72FF"/>
    <w:rsid w:val="00B47703"/>
    <w:rsid w:val="00B508D7"/>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7AB"/>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1E2"/>
    <w:rsid w:val="00BA0632"/>
    <w:rsid w:val="00BA0AAA"/>
    <w:rsid w:val="00BA0DFB"/>
    <w:rsid w:val="00BA2FEF"/>
    <w:rsid w:val="00BA35BF"/>
    <w:rsid w:val="00BA3DE7"/>
    <w:rsid w:val="00BA7566"/>
    <w:rsid w:val="00BB0CC5"/>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5FE6"/>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38E"/>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35E6"/>
    <w:rsid w:val="00C43E83"/>
    <w:rsid w:val="00C452F5"/>
    <w:rsid w:val="00C46555"/>
    <w:rsid w:val="00C46776"/>
    <w:rsid w:val="00C46B15"/>
    <w:rsid w:val="00C46F7D"/>
    <w:rsid w:val="00C479B5"/>
    <w:rsid w:val="00C47F91"/>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491"/>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31C"/>
    <w:rsid w:val="00D04FFF"/>
    <w:rsid w:val="00D05132"/>
    <w:rsid w:val="00D05EA9"/>
    <w:rsid w:val="00D071F8"/>
    <w:rsid w:val="00D07252"/>
    <w:rsid w:val="00D0729B"/>
    <w:rsid w:val="00D074F4"/>
    <w:rsid w:val="00D07CE1"/>
    <w:rsid w:val="00D1026A"/>
    <w:rsid w:val="00D107CF"/>
    <w:rsid w:val="00D11B0B"/>
    <w:rsid w:val="00D11B7D"/>
    <w:rsid w:val="00D12293"/>
    <w:rsid w:val="00D14236"/>
    <w:rsid w:val="00D14553"/>
    <w:rsid w:val="00D14593"/>
    <w:rsid w:val="00D1497A"/>
    <w:rsid w:val="00D14A2C"/>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812"/>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0019"/>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C2C"/>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412F"/>
    <w:rsid w:val="00DE52E3"/>
    <w:rsid w:val="00DE7142"/>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6AF"/>
    <w:rsid w:val="00E01DAA"/>
    <w:rsid w:val="00E023E5"/>
    <w:rsid w:val="00E02432"/>
    <w:rsid w:val="00E04022"/>
    <w:rsid w:val="00E04757"/>
    <w:rsid w:val="00E0728F"/>
    <w:rsid w:val="00E0755C"/>
    <w:rsid w:val="00E07845"/>
    <w:rsid w:val="00E10EB2"/>
    <w:rsid w:val="00E1131D"/>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49AA"/>
    <w:rsid w:val="00E75174"/>
    <w:rsid w:val="00E75D1D"/>
    <w:rsid w:val="00E75EBA"/>
    <w:rsid w:val="00E763B4"/>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DB6"/>
    <w:rsid w:val="00ED162F"/>
    <w:rsid w:val="00ED2E52"/>
    <w:rsid w:val="00ED3024"/>
    <w:rsid w:val="00ED424B"/>
    <w:rsid w:val="00ED5FE4"/>
    <w:rsid w:val="00ED71C5"/>
    <w:rsid w:val="00EE16FA"/>
    <w:rsid w:val="00EE3C42"/>
    <w:rsid w:val="00EE3D4F"/>
    <w:rsid w:val="00EE534D"/>
    <w:rsid w:val="00EE5560"/>
    <w:rsid w:val="00EE6F1E"/>
    <w:rsid w:val="00EF0348"/>
    <w:rsid w:val="00EF12A4"/>
    <w:rsid w:val="00EF1F9C"/>
    <w:rsid w:val="00EF3367"/>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7BF"/>
    <w:rsid w:val="00F13ECD"/>
    <w:rsid w:val="00F15014"/>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AA2"/>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4D54"/>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18C4"/>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586D"/>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4F53"/>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9463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946331"/>
    <w:pPr>
      <w:pBdr>
        <w:top w:val="none" w:sz="0" w:space="0" w:color="auto"/>
      </w:pBdr>
      <w:spacing w:before="180"/>
      <w:outlineLvl w:val="1"/>
    </w:pPr>
    <w:rPr>
      <w:sz w:val="32"/>
    </w:rPr>
  </w:style>
  <w:style w:type="paragraph" w:styleId="3">
    <w:name w:val="heading 3"/>
    <w:aliases w:val="heading 3,h3"/>
    <w:basedOn w:val="2"/>
    <w:next w:val="a0"/>
    <w:qFormat/>
    <w:rsid w:val="00946331"/>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946331"/>
    <w:pPr>
      <w:ind w:left="1418" w:hanging="1418"/>
      <w:outlineLvl w:val="3"/>
    </w:pPr>
    <w:rPr>
      <w:sz w:val="24"/>
    </w:rPr>
  </w:style>
  <w:style w:type="paragraph" w:styleId="5">
    <w:name w:val="heading 5"/>
    <w:aliases w:val="h5,Heading5"/>
    <w:basedOn w:val="4"/>
    <w:next w:val="a0"/>
    <w:qFormat/>
    <w:rsid w:val="00946331"/>
    <w:pPr>
      <w:ind w:left="1701" w:hanging="1701"/>
      <w:outlineLvl w:val="4"/>
    </w:pPr>
    <w:rPr>
      <w:sz w:val="22"/>
    </w:rPr>
  </w:style>
  <w:style w:type="paragraph" w:styleId="6">
    <w:name w:val="heading 6"/>
    <w:basedOn w:val="a0"/>
    <w:next w:val="a0"/>
    <w:qFormat/>
    <w:rsid w:val="00946331"/>
    <w:pPr>
      <w:keepNext/>
      <w:keepLines/>
      <w:spacing w:before="120"/>
      <w:ind w:left="1985" w:hanging="1985"/>
      <w:outlineLvl w:val="5"/>
    </w:pPr>
    <w:rPr>
      <w:rFonts w:ascii="Arial" w:hAnsi="Arial"/>
    </w:rPr>
  </w:style>
  <w:style w:type="paragraph" w:styleId="7">
    <w:name w:val="heading 7"/>
    <w:basedOn w:val="a0"/>
    <w:next w:val="a0"/>
    <w:qFormat/>
    <w:rsid w:val="00946331"/>
    <w:pPr>
      <w:keepNext/>
      <w:keepLines/>
      <w:spacing w:before="120"/>
      <w:ind w:left="1985" w:hanging="1985"/>
      <w:outlineLvl w:val="6"/>
    </w:pPr>
    <w:rPr>
      <w:rFonts w:ascii="Arial" w:hAnsi="Arial"/>
    </w:rPr>
  </w:style>
  <w:style w:type="paragraph" w:styleId="8">
    <w:name w:val="heading 8"/>
    <w:basedOn w:val="1"/>
    <w:next w:val="a0"/>
    <w:qFormat/>
    <w:rsid w:val="00946331"/>
    <w:pPr>
      <w:ind w:left="0" w:firstLine="0"/>
      <w:outlineLvl w:val="7"/>
    </w:pPr>
  </w:style>
  <w:style w:type="paragraph" w:styleId="9">
    <w:name w:val="heading 9"/>
    <w:aliases w:val="Figure Heading,FH"/>
    <w:basedOn w:val="8"/>
    <w:next w:val="a0"/>
    <w:qFormat/>
    <w:rsid w:val="00946331"/>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목록단락,列"/>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qFormat/>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rsid w:val="00F917B9"/>
    <w:pPr>
      <w:keepLines/>
      <w:tabs>
        <w:tab w:val="center" w:pos="4536"/>
        <w:tab w:val="right" w:pos="9072"/>
      </w:tabs>
      <w:autoSpaceDE/>
      <w:autoSpaceDN/>
      <w:adjustRightInd/>
    </w:pPr>
    <w:rPr>
      <w:noProof/>
    </w:rPr>
  </w:style>
  <w:style w:type="character" w:customStyle="1" w:styleId="B3Char2">
    <w:name w:val="B3 Char2"/>
    <w:link w:val="B3"/>
    <w:qFormat/>
    <w:locked/>
    <w:rsid w:val="000B701A"/>
    <w:rPr>
      <w:rFonts w:ascii="Times New Roman" w:eastAsia="Times New Roman" w:hAnsi="Times New Roman"/>
      <w:lang w:val="en-GB" w:eastAsia="ja-JP"/>
    </w:rPr>
  </w:style>
  <w:style w:type="paragraph" w:customStyle="1" w:styleId="B3">
    <w:name w:val="B3"/>
    <w:basedOn w:val="30"/>
    <w:link w:val="B3Char2"/>
    <w:qFormat/>
    <w:rsid w:val="000B701A"/>
    <w:pPr>
      <w:ind w:leftChars="0" w:left="1135" w:firstLineChars="0" w:hanging="284"/>
      <w:contextualSpacing w:val="0"/>
      <w:textAlignment w:val="auto"/>
    </w:pPr>
    <w:rPr>
      <w:rFonts w:eastAsia="Times New Roman"/>
      <w:lang w:eastAsia="ja-JP"/>
    </w:rPr>
  </w:style>
  <w:style w:type="paragraph" w:styleId="30">
    <w:name w:val="List 3"/>
    <w:basedOn w:val="a0"/>
    <w:semiHidden/>
    <w:unhideWhenUsed/>
    <w:rsid w:val="000B701A"/>
    <w:pPr>
      <w:ind w:leftChars="400" w:left="100" w:hangingChars="200" w:hanging="200"/>
      <w:contextualSpacing/>
    </w:pPr>
  </w:style>
  <w:style w:type="character" w:customStyle="1" w:styleId="TALCar">
    <w:name w:val="TAL Car"/>
    <w:qFormat/>
    <w:locked/>
    <w:rsid w:val="00C2738E"/>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177">
      <w:bodyDiv w:val="1"/>
      <w:marLeft w:val="0"/>
      <w:marRight w:val="0"/>
      <w:marTop w:val="0"/>
      <w:marBottom w:val="0"/>
      <w:divBdr>
        <w:top w:val="none" w:sz="0" w:space="0" w:color="auto"/>
        <w:left w:val="none" w:sz="0" w:space="0" w:color="auto"/>
        <w:bottom w:val="none" w:sz="0" w:space="0" w:color="auto"/>
        <w:right w:val="none" w:sz="0" w:space="0" w:color="auto"/>
      </w:divBdr>
    </w:div>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166755362">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474415949">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8020556">
      <w:bodyDiv w:val="1"/>
      <w:marLeft w:val="0"/>
      <w:marRight w:val="0"/>
      <w:marTop w:val="0"/>
      <w:marBottom w:val="0"/>
      <w:divBdr>
        <w:top w:val="none" w:sz="0" w:space="0" w:color="auto"/>
        <w:left w:val="none" w:sz="0" w:space="0" w:color="auto"/>
        <w:bottom w:val="none" w:sz="0" w:space="0" w:color="auto"/>
        <w:right w:val="none" w:sz="0" w:space="0" w:color="auto"/>
      </w:divBdr>
    </w:div>
    <w:div w:id="696347920">
      <w:bodyDiv w:val="1"/>
      <w:marLeft w:val="0"/>
      <w:marRight w:val="0"/>
      <w:marTop w:val="0"/>
      <w:marBottom w:val="0"/>
      <w:divBdr>
        <w:top w:val="none" w:sz="0" w:space="0" w:color="auto"/>
        <w:left w:val="none" w:sz="0" w:space="0" w:color="auto"/>
        <w:bottom w:val="none" w:sz="0" w:space="0" w:color="auto"/>
        <w:right w:val="none" w:sz="0" w:space="0" w:color="auto"/>
      </w:divBdr>
      <w:divsChild>
        <w:div w:id="487092167">
          <w:marLeft w:val="274"/>
          <w:marRight w:val="0"/>
          <w:marTop w:val="0"/>
          <w:marBottom w:val="0"/>
          <w:divBdr>
            <w:top w:val="none" w:sz="0" w:space="0" w:color="auto"/>
            <w:left w:val="none" w:sz="0" w:space="0" w:color="auto"/>
            <w:bottom w:val="none" w:sz="0" w:space="0" w:color="auto"/>
            <w:right w:val="none" w:sz="0" w:space="0" w:color="auto"/>
          </w:divBdr>
        </w:div>
        <w:div w:id="898829091">
          <w:marLeft w:val="274"/>
          <w:marRight w:val="0"/>
          <w:marTop w:val="0"/>
          <w:marBottom w:val="0"/>
          <w:divBdr>
            <w:top w:val="none" w:sz="0" w:space="0" w:color="auto"/>
            <w:left w:val="none" w:sz="0" w:space="0" w:color="auto"/>
            <w:bottom w:val="none" w:sz="0" w:space="0" w:color="auto"/>
            <w:right w:val="none" w:sz="0" w:space="0" w:color="auto"/>
          </w:divBdr>
        </w:div>
        <w:div w:id="1907836185">
          <w:marLeft w:val="274"/>
          <w:marRight w:val="0"/>
          <w:marTop w:val="0"/>
          <w:marBottom w:val="0"/>
          <w:divBdr>
            <w:top w:val="none" w:sz="0" w:space="0" w:color="auto"/>
            <w:left w:val="none" w:sz="0" w:space="0" w:color="auto"/>
            <w:bottom w:val="none" w:sz="0" w:space="0" w:color="auto"/>
            <w:right w:val="none" w:sz="0" w:space="0" w:color="auto"/>
          </w:divBdr>
        </w:div>
        <w:div w:id="488987900">
          <w:marLeft w:val="274"/>
          <w:marRight w:val="0"/>
          <w:marTop w:val="0"/>
          <w:marBottom w:val="0"/>
          <w:divBdr>
            <w:top w:val="none" w:sz="0" w:space="0" w:color="auto"/>
            <w:left w:val="none" w:sz="0" w:space="0" w:color="auto"/>
            <w:bottom w:val="none" w:sz="0" w:space="0" w:color="auto"/>
            <w:right w:val="none" w:sz="0" w:space="0" w:color="auto"/>
          </w:divBdr>
        </w:div>
        <w:div w:id="519125043">
          <w:marLeft w:val="274"/>
          <w:marRight w:val="0"/>
          <w:marTop w:val="0"/>
          <w:marBottom w:val="0"/>
          <w:divBdr>
            <w:top w:val="none" w:sz="0" w:space="0" w:color="auto"/>
            <w:left w:val="none" w:sz="0" w:space="0" w:color="auto"/>
            <w:bottom w:val="none" w:sz="0" w:space="0" w:color="auto"/>
            <w:right w:val="none" w:sz="0" w:space="0" w:color="auto"/>
          </w:divBdr>
        </w:div>
        <w:div w:id="1507019660">
          <w:marLeft w:val="274"/>
          <w:marRight w:val="0"/>
          <w:marTop w:val="0"/>
          <w:marBottom w:val="0"/>
          <w:divBdr>
            <w:top w:val="none" w:sz="0" w:space="0" w:color="auto"/>
            <w:left w:val="none" w:sz="0" w:space="0" w:color="auto"/>
            <w:bottom w:val="none" w:sz="0" w:space="0" w:color="auto"/>
            <w:right w:val="none" w:sz="0" w:space="0" w:color="auto"/>
          </w:divBdr>
        </w:div>
        <w:div w:id="1573156750">
          <w:marLeft w:val="274"/>
          <w:marRight w:val="0"/>
          <w:marTop w:val="0"/>
          <w:marBottom w:val="0"/>
          <w:divBdr>
            <w:top w:val="none" w:sz="0" w:space="0" w:color="auto"/>
            <w:left w:val="none" w:sz="0" w:space="0" w:color="auto"/>
            <w:bottom w:val="none" w:sz="0" w:space="0" w:color="auto"/>
            <w:right w:val="none" w:sz="0" w:space="0" w:color="auto"/>
          </w:divBdr>
        </w:div>
        <w:div w:id="1843810602">
          <w:marLeft w:val="274"/>
          <w:marRight w:val="0"/>
          <w:marTop w:val="0"/>
          <w:marBottom w:val="0"/>
          <w:divBdr>
            <w:top w:val="none" w:sz="0" w:space="0" w:color="auto"/>
            <w:left w:val="none" w:sz="0" w:space="0" w:color="auto"/>
            <w:bottom w:val="none" w:sz="0" w:space="0" w:color="auto"/>
            <w:right w:val="none" w:sz="0" w:space="0" w:color="auto"/>
          </w:divBdr>
        </w:div>
        <w:div w:id="493957041">
          <w:marLeft w:val="274"/>
          <w:marRight w:val="0"/>
          <w:marTop w:val="0"/>
          <w:marBottom w:val="0"/>
          <w:divBdr>
            <w:top w:val="none" w:sz="0" w:space="0" w:color="auto"/>
            <w:left w:val="none" w:sz="0" w:space="0" w:color="auto"/>
            <w:bottom w:val="none" w:sz="0" w:space="0" w:color="auto"/>
            <w:right w:val="none" w:sz="0" w:space="0" w:color="auto"/>
          </w:divBdr>
        </w:div>
        <w:div w:id="622465933">
          <w:marLeft w:val="274"/>
          <w:marRight w:val="0"/>
          <w:marTop w:val="0"/>
          <w:marBottom w:val="0"/>
          <w:divBdr>
            <w:top w:val="none" w:sz="0" w:space="0" w:color="auto"/>
            <w:left w:val="none" w:sz="0" w:space="0" w:color="auto"/>
            <w:bottom w:val="none" w:sz="0" w:space="0" w:color="auto"/>
            <w:right w:val="none" w:sz="0" w:space="0" w:color="auto"/>
          </w:divBdr>
        </w:div>
        <w:div w:id="1629428628">
          <w:marLeft w:val="274"/>
          <w:marRight w:val="0"/>
          <w:marTop w:val="0"/>
          <w:marBottom w:val="0"/>
          <w:divBdr>
            <w:top w:val="none" w:sz="0" w:space="0" w:color="auto"/>
            <w:left w:val="none" w:sz="0" w:space="0" w:color="auto"/>
            <w:bottom w:val="none" w:sz="0" w:space="0" w:color="auto"/>
            <w:right w:val="none" w:sz="0" w:space="0" w:color="auto"/>
          </w:divBdr>
        </w:div>
        <w:div w:id="1418752036">
          <w:marLeft w:val="274"/>
          <w:marRight w:val="0"/>
          <w:marTop w:val="0"/>
          <w:marBottom w:val="0"/>
          <w:divBdr>
            <w:top w:val="none" w:sz="0" w:space="0" w:color="auto"/>
            <w:left w:val="none" w:sz="0" w:space="0" w:color="auto"/>
            <w:bottom w:val="none" w:sz="0" w:space="0" w:color="auto"/>
            <w:right w:val="none" w:sz="0" w:space="0" w:color="auto"/>
          </w:divBdr>
        </w:div>
        <w:div w:id="1439375787">
          <w:marLeft w:val="274"/>
          <w:marRight w:val="0"/>
          <w:marTop w:val="0"/>
          <w:marBottom w:val="0"/>
          <w:divBdr>
            <w:top w:val="none" w:sz="0" w:space="0" w:color="auto"/>
            <w:left w:val="none" w:sz="0" w:space="0" w:color="auto"/>
            <w:bottom w:val="none" w:sz="0" w:space="0" w:color="auto"/>
            <w:right w:val="none" w:sz="0" w:space="0" w:color="auto"/>
          </w:divBdr>
        </w:div>
        <w:div w:id="1402436729">
          <w:marLeft w:val="274"/>
          <w:marRight w:val="0"/>
          <w:marTop w:val="0"/>
          <w:marBottom w:val="0"/>
          <w:divBdr>
            <w:top w:val="none" w:sz="0" w:space="0" w:color="auto"/>
            <w:left w:val="none" w:sz="0" w:space="0" w:color="auto"/>
            <w:bottom w:val="none" w:sz="0" w:space="0" w:color="auto"/>
            <w:right w:val="none" w:sz="0" w:space="0" w:color="auto"/>
          </w:divBdr>
        </w:div>
        <w:div w:id="7485429">
          <w:marLeft w:val="274"/>
          <w:marRight w:val="0"/>
          <w:marTop w:val="0"/>
          <w:marBottom w:val="0"/>
          <w:divBdr>
            <w:top w:val="none" w:sz="0" w:space="0" w:color="auto"/>
            <w:left w:val="none" w:sz="0" w:space="0" w:color="auto"/>
            <w:bottom w:val="none" w:sz="0" w:space="0" w:color="auto"/>
            <w:right w:val="none" w:sz="0" w:space="0" w:color="auto"/>
          </w:divBdr>
        </w:div>
      </w:divsChild>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11482422">
      <w:bodyDiv w:val="1"/>
      <w:marLeft w:val="0"/>
      <w:marRight w:val="0"/>
      <w:marTop w:val="0"/>
      <w:marBottom w:val="0"/>
      <w:divBdr>
        <w:top w:val="none" w:sz="0" w:space="0" w:color="auto"/>
        <w:left w:val="none" w:sz="0" w:space="0" w:color="auto"/>
        <w:bottom w:val="none" w:sz="0" w:space="0" w:color="auto"/>
        <w:right w:val="none" w:sz="0" w:space="0" w:color="auto"/>
      </w:divBdr>
      <w:divsChild>
        <w:div w:id="873031969">
          <w:marLeft w:val="360"/>
          <w:marRight w:val="0"/>
          <w:marTop w:val="0"/>
          <w:marBottom w:val="0"/>
          <w:divBdr>
            <w:top w:val="none" w:sz="0" w:space="0" w:color="auto"/>
            <w:left w:val="none" w:sz="0" w:space="0" w:color="auto"/>
            <w:bottom w:val="none" w:sz="0" w:space="0" w:color="auto"/>
            <w:right w:val="none" w:sz="0" w:space="0" w:color="auto"/>
          </w:divBdr>
        </w:div>
      </w:divsChild>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861626561">
      <w:bodyDiv w:val="1"/>
      <w:marLeft w:val="0"/>
      <w:marRight w:val="0"/>
      <w:marTop w:val="0"/>
      <w:marBottom w:val="0"/>
      <w:divBdr>
        <w:top w:val="none" w:sz="0" w:space="0" w:color="auto"/>
        <w:left w:val="none" w:sz="0" w:space="0" w:color="auto"/>
        <w:bottom w:val="none" w:sz="0" w:space="0" w:color="auto"/>
        <w:right w:val="none" w:sz="0" w:space="0" w:color="auto"/>
      </w:divBdr>
      <w:divsChild>
        <w:div w:id="778838066">
          <w:marLeft w:val="360"/>
          <w:marRight w:val="0"/>
          <w:marTop w:val="0"/>
          <w:marBottom w:val="0"/>
          <w:divBdr>
            <w:top w:val="none" w:sz="0" w:space="0" w:color="auto"/>
            <w:left w:val="none" w:sz="0" w:space="0" w:color="auto"/>
            <w:bottom w:val="none" w:sz="0" w:space="0" w:color="auto"/>
            <w:right w:val="none" w:sz="0" w:space="0" w:color="auto"/>
          </w:divBdr>
        </w:div>
      </w:divsChild>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7685935">
      <w:bodyDiv w:val="1"/>
      <w:marLeft w:val="0"/>
      <w:marRight w:val="0"/>
      <w:marTop w:val="0"/>
      <w:marBottom w:val="0"/>
      <w:divBdr>
        <w:top w:val="none" w:sz="0" w:space="0" w:color="auto"/>
        <w:left w:val="none" w:sz="0" w:space="0" w:color="auto"/>
        <w:bottom w:val="none" w:sz="0" w:space="0" w:color="auto"/>
        <w:right w:val="none" w:sz="0" w:space="0" w:color="auto"/>
      </w:divBdr>
      <w:divsChild>
        <w:div w:id="233586636">
          <w:marLeft w:val="360"/>
          <w:marRight w:val="0"/>
          <w:marTop w:val="200"/>
          <w:marBottom w:val="0"/>
          <w:divBdr>
            <w:top w:val="none" w:sz="0" w:space="0" w:color="auto"/>
            <w:left w:val="none" w:sz="0" w:space="0" w:color="auto"/>
            <w:bottom w:val="none" w:sz="0" w:space="0" w:color="auto"/>
            <w:right w:val="none" w:sz="0" w:space="0" w:color="auto"/>
          </w:divBdr>
        </w:div>
        <w:div w:id="666594468">
          <w:marLeft w:val="1080"/>
          <w:marRight w:val="0"/>
          <w:marTop w:val="100"/>
          <w:marBottom w:val="0"/>
          <w:divBdr>
            <w:top w:val="none" w:sz="0" w:space="0" w:color="auto"/>
            <w:left w:val="none" w:sz="0" w:space="0" w:color="auto"/>
            <w:bottom w:val="none" w:sz="0" w:space="0" w:color="auto"/>
            <w:right w:val="none" w:sz="0" w:space="0" w:color="auto"/>
          </w:divBdr>
        </w:div>
        <w:div w:id="183516966">
          <w:marLeft w:val="1080"/>
          <w:marRight w:val="0"/>
          <w:marTop w:val="100"/>
          <w:marBottom w:val="0"/>
          <w:divBdr>
            <w:top w:val="none" w:sz="0" w:space="0" w:color="auto"/>
            <w:left w:val="none" w:sz="0" w:space="0" w:color="auto"/>
            <w:bottom w:val="none" w:sz="0" w:space="0" w:color="auto"/>
            <w:right w:val="none" w:sz="0" w:space="0" w:color="auto"/>
          </w:divBdr>
        </w:div>
        <w:div w:id="2133204272">
          <w:marLeft w:val="1080"/>
          <w:marRight w:val="0"/>
          <w:marTop w:val="100"/>
          <w:marBottom w:val="0"/>
          <w:divBdr>
            <w:top w:val="none" w:sz="0" w:space="0" w:color="auto"/>
            <w:left w:val="none" w:sz="0" w:space="0" w:color="auto"/>
            <w:bottom w:val="none" w:sz="0" w:space="0" w:color="auto"/>
            <w:right w:val="none" w:sz="0" w:space="0" w:color="auto"/>
          </w:divBdr>
        </w:div>
        <w:div w:id="263073996">
          <w:marLeft w:val="1080"/>
          <w:marRight w:val="0"/>
          <w:marTop w:val="100"/>
          <w:marBottom w:val="0"/>
          <w:divBdr>
            <w:top w:val="none" w:sz="0" w:space="0" w:color="auto"/>
            <w:left w:val="none" w:sz="0" w:space="0" w:color="auto"/>
            <w:bottom w:val="none" w:sz="0" w:space="0" w:color="auto"/>
            <w:right w:val="none" w:sz="0" w:space="0" w:color="auto"/>
          </w:divBdr>
        </w:div>
        <w:div w:id="1410496736">
          <w:marLeft w:val="360"/>
          <w:marRight w:val="0"/>
          <w:marTop w:val="200"/>
          <w:marBottom w:val="0"/>
          <w:divBdr>
            <w:top w:val="none" w:sz="0" w:space="0" w:color="auto"/>
            <w:left w:val="none" w:sz="0" w:space="0" w:color="auto"/>
            <w:bottom w:val="none" w:sz="0" w:space="0" w:color="auto"/>
            <w:right w:val="none" w:sz="0" w:space="0" w:color="auto"/>
          </w:divBdr>
        </w:div>
        <w:div w:id="1793552124">
          <w:marLeft w:val="1080"/>
          <w:marRight w:val="0"/>
          <w:marTop w:val="100"/>
          <w:marBottom w:val="0"/>
          <w:divBdr>
            <w:top w:val="none" w:sz="0" w:space="0" w:color="auto"/>
            <w:left w:val="none" w:sz="0" w:space="0" w:color="auto"/>
            <w:bottom w:val="none" w:sz="0" w:space="0" w:color="auto"/>
            <w:right w:val="none" w:sz="0" w:space="0" w:color="auto"/>
          </w:divBdr>
        </w:div>
        <w:div w:id="1006907364">
          <w:marLeft w:val="1080"/>
          <w:marRight w:val="0"/>
          <w:marTop w:val="100"/>
          <w:marBottom w:val="0"/>
          <w:divBdr>
            <w:top w:val="none" w:sz="0" w:space="0" w:color="auto"/>
            <w:left w:val="none" w:sz="0" w:space="0" w:color="auto"/>
            <w:bottom w:val="none" w:sz="0" w:space="0" w:color="auto"/>
            <w:right w:val="none" w:sz="0" w:space="0" w:color="auto"/>
          </w:divBdr>
        </w:div>
        <w:div w:id="683214990">
          <w:marLeft w:val="360"/>
          <w:marRight w:val="0"/>
          <w:marTop w:val="200"/>
          <w:marBottom w:val="0"/>
          <w:divBdr>
            <w:top w:val="none" w:sz="0" w:space="0" w:color="auto"/>
            <w:left w:val="none" w:sz="0" w:space="0" w:color="auto"/>
            <w:bottom w:val="none" w:sz="0" w:space="0" w:color="auto"/>
            <w:right w:val="none" w:sz="0" w:space="0" w:color="auto"/>
          </w:divBdr>
        </w:div>
      </w:divsChild>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164977477">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54958651">
      <w:bodyDiv w:val="1"/>
      <w:marLeft w:val="0"/>
      <w:marRight w:val="0"/>
      <w:marTop w:val="0"/>
      <w:marBottom w:val="0"/>
      <w:divBdr>
        <w:top w:val="none" w:sz="0" w:space="0" w:color="auto"/>
        <w:left w:val="none" w:sz="0" w:space="0" w:color="auto"/>
        <w:bottom w:val="none" w:sz="0" w:space="0" w:color="auto"/>
        <w:right w:val="none" w:sz="0" w:space="0" w:color="auto"/>
      </w:divBdr>
      <w:divsChild>
        <w:div w:id="1858301287">
          <w:marLeft w:val="274"/>
          <w:marRight w:val="0"/>
          <w:marTop w:val="0"/>
          <w:marBottom w:val="0"/>
          <w:divBdr>
            <w:top w:val="none" w:sz="0" w:space="0" w:color="auto"/>
            <w:left w:val="none" w:sz="0" w:space="0" w:color="auto"/>
            <w:bottom w:val="none" w:sz="0" w:space="0" w:color="auto"/>
            <w:right w:val="none" w:sz="0" w:space="0" w:color="auto"/>
          </w:divBdr>
        </w:div>
        <w:div w:id="128403483">
          <w:marLeft w:val="274"/>
          <w:marRight w:val="0"/>
          <w:marTop w:val="0"/>
          <w:marBottom w:val="0"/>
          <w:divBdr>
            <w:top w:val="none" w:sz="0" w:space="0" w:color="auto"/>
            <w:left w:val="none" w:sz="0" w:space="0" w:color="auto"/>
            <w:bottom w:val="none" w:sz="0" w:space="0" w:color="auto"/>
            <w:right w:val="none" w:sz="0" w:space="0" w:color="auto"/>
          </w:divBdr>
        </w:div>
        <w:div w:id="1930187778">
          <w:marLeft w:val="274"/>
          <w:marRight w:val="0"/>
          <w:marTop w:val="0"/>
          <w:marBottom w:val="0"/>
          <w:divBdr>
            <w:top w:val="none" w:sz="0" w:space="0" w:color="auto"/>
            <w:left w:val="none" w:sz="0" w:space="0" w:color="auto"/>
            <w:bottom w:val="none" w:sz="0" w:space="0" w:color="auto"/>
            <w:right w:val="none" w:sz="0" w:space="0" w:color="auto"/>
          </w:divBdr>
        </w:div>
        <w:div w:id="2090341637">
          <w:marLeft w:val="274"/>
          <w:marRight w:val="0"/>
          <w:marTop w:val="0"/>
          <w:marBottom w:val="0"/>
          <w:divBdr>
            <w:top w:val="none" w:sz="0" w:space="0" w:color="auto"/>
            <w:left w:val="none" w:sz="0" w:space="0" w:color="auto"/>
            <w:bottom w:val="none" w:sz="0" w:space="0" w:color="auto"/>
            <w:right w:val="none" w:sz="0" w:space="0" w:color="auto"/>
          </w:divBdr>
        </w:div>
        <w:div w:id="867983701">
          <w:marLeft w:val="274"/>
          <w:marRight w:val="0"/>
          <w:marTop w:val="0"/>
          <w:marBottom w:val="0"/>
          <w:divBdr>
            <w:top w:val="none" w:sz="0" w:space="0" w:color="auto"/>
            <w:left w:val="none" w:sz="0" w:space="0" w:color="auto"/>
            <w:bottom w:val="none" w:sz="0" w:space="0" w:color="auto"/>
            <w:right w:val="none" w:sz="0" w:space="0" w:color="auto"/>
          </w:divBdr>
        </w:div>
        <w:div w:id="789978077">
          <w:marLeft w:val="274"/>
          <w:marRight w:val="0"/>
          <w:marTop w:val="0"/>
          <w:marBottom w:val="0"/>
          <w:divBdr>
            <w:top w:val="none" w:sz="0" w:space="0" w:color="auto"/>
            <w:left w:val="none" w:sz="0" w:space="0" w:color="auto"/>
            <w:bottom w:val="none" w:sz="0" w:space="0" w:color="auto"/>
            <w:right w:val="none" w:sz="0" w:space="0" w:color="auto"/>
          </w:divBdr>
        </w:div>
        <w:div w:id="14625103">
          <w:marLeft w:val="274"/>
          <w:marRight w:val="0"/>
          <w:marTop w:val="0"/>
          <w:marBottom w:val="0"/>
          <w:divBdr>
            <w:top w:val="none" w:sz="0" w:space="0" w:color="auto"/>
            <w:left w:val="none" w:sz="0" w:space="0" w:color="auto"/>
            <w:bottom w:val="none" w:sz="0" w:space="0" w:color="auto"/>
            <w:right w:val="none" w:sz="0" w:space="0" w:color="auto"/>
          </w:divBdr>
        </w:div>
        <w:div w:id="1226184827">
          <w:marLeft w:val="274"/>
          <w:marRight w:val="0"/>
          <w:marTop w:val="0"/>
          <w:marBottom w:val="0"/>
          <w:divBdr>
            <w:top w:val="none" w:sz="0" w:space="0" w:color="auto"/>
            <w:left w:val="none" w:sz="0" w:space="0" w:color="auto"/>
            <w:bottom w:val="none" w:sz="0" w:space="0" w:color="auto"/>
            <w:right w:val="none" w:sz="0" w:space="0" w:color="auto"/>
          </w:divBdr>
        </w:div>
        <w:div w:id="1919050322">
          <w:marLeft w:val="274"/>
          <w:marRight w:val="0"/>
          <w:marTop w:val="0"/>
          <w:marBottom w:val="0"/>
          <w:divBdr>
            <w:top w:val="none" w:sz="0" w:space="0" w:color="auto"/>
            <w:left w:val="none" w:sz="0" w:space="0" w:color="auto"/>
            <w:bottom w:val="none" w:sz="0" w:space="0" w:color="auto"/>
            <w:right w:val="none" w:sz="0" w:space="0" w:color="auto"/>
          </w:divBdr>
        </w:div>
        <w:div w:id="1188373914">
          <w:marLeft w:val="274"/>
          <w:marRight w:val="0"/>
          <w:marTop w:val="0"/>
          <w:marBottom w:val="0"/>
          <w:divBdr>
            <w:top w:val="none" w:sz="0" w:space="0" w:color="auto"/>
            <w:left w:val="none" w:sz="0" w:space="0" w:color="auto"/>
            <w:bottom w:val="none" w:sz="0" w:space="0" w:color="auto"/>
            <w:right w:val="none" w:sz="0" w:space="0" w:color="auto"/>
          </w:divBdr>
        </w:div>
        <w:div w:id="1613047422">
          <w:marLeft w:val="274"/>
          <w:marRight w:val="0"/>
          <w:marTop w:val="0"/>
          <w:marBottom w:val="0"/>
          <w:divBdr>
            <w:top w:val="none" w:sz="0" w:space="0" w:color="auto"/>
            <w:left w:val="none" w:sz="0" w:space="0" w:color="auto"/>
            <w:bottom w:val="none" w:sz="0" w:space="0" w:color="auto"/>
            <w:right w:val="none" w:sz="0" w:space="0" w:color="auto"/>
          </w:divBdr>
        </w:div>
        <w:div w:id="132528151">
          <w:marLeft w:val="274"/>
          <w:marRight w:val="0"/>
          <w:marTop w:val="0"/>
          <w:marBottom w:val="0"/>
          <w:divBdr>
            <w:top w:val="none" w:sz="0" w:space="0" w:color="auto"/>
            <w:left w:val="none" w:sz="0" w:space="0" w:color="auto"/>
            <w:bottom w:val="none" w:sz="0" w:space="0" w:color="auto"/>
            <w:right w:val="none" w:sz="0" w:space="0" w:color="auto"/>
          </w:divBdr>
        </w:div>
        <w:div w:id="390616993">
          <w:marLeft w:val="274"/>
          <w:marRight w:val="0"/>
          <w:marTop w:val="0"/>
          <w:marBottom w:val="0"/>
          <w:divBdr>
            <w:top w:val="none" w:sz="0" w:space="0" w:color="auto"/>
            <w:left w:val="none" w:sz="0" w:space="0" w:color="auto"/>
            <w:bottom w:val="none" w:sz="0" w:space="0" w:color="auto"/>
            <w:right w:val="none" w:sz="0" w:space="0" w:color="auto"/>
          </w:divBdr>
        </w:div>
        <w:div w:id="1505243242">
          <w:marLeft w:val="274"/>
          <w:marRight w:val="0"/>
          <w:marTop w:val="0"/>
          <w:marBottom w:val="0"/>
          <w:divBdr>
            <w:top w:val="none" w:sz="0" w:space="0" w:color="auto"/>
            <w:left w:val="none" w:sz="0" w:space="0" w:color="auto"/>
            <w:bottom w:val="none" w:sz="0" w:space="0" w:color="auto"/>
            <w:right w:val="none" w:sz="0" w:space="0" w:color="auto"/>
          </w:divBdr>
        </w:div>
        <w:div w:id="208298278">
          <w:marLeft w:val="274"/>
          <w:marRight w:val="0"/>
          <w:marTop w:val="0"/>
          <w:marBottom w:val="0"/>
          <w:divBdr>
            <w:top w:val="none" w:sz="0" w:space="0" w:color="auto"/>
            <w:left w:val="none" w:sz="0" w:space="0" w:color="auto"/>
            <w:bottom w:val="none" w:sz="0" w:space="0" w:color="auto"/>
            <w:right w:val="none" w:sz="0" w:space="0" w:color="auto"/>
          </w:divBdr>
        </w:div>
      </w:divsChild>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11157690">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26124078">
      <w:bodyDiv w:val="1"/>
      <w:marLeft w:val="0"/>
      <w:marRight w:val="0"/>
      <w:marTop w:val="0"/>
      <w:marBottom w:val="0"/>
      <w:divBdr>
        <w:top w:val="none" w:sz="0" w:space="0" w:color="auto"/>
        <w:left w:val="none" w:sz="0" w:space="0" w:color="auto"/>
        <w:bottom w:val="none" w:sz="0" w:space="0" w:color="auto"/>
        <w:right w:val="none" w:sz="0" w:space="0" w:color="auto"/>
      </w:divBdr>
    </w:div>
    <w:div w:id="1837377886">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2014800895">
      <w:bodyDiv w:val="1"/>
      <w:marLeft w:val="0"/>
      <w:marRight w:val="0"/>
      <w:marTop w:val="0"/>
      <w:marBottom w:val="0"/>
      <w:divBdr>
        <w:top w:val="none" w:sz="0" w:space="0" w:color="auto"/>
        <w:left w:val="none" w:sz="0" w:space="0" w:color="auto"/>
        <w:bottom w:val="none" w:sz="0" w:space="0" w:color="auto"/>
        <w:right w:val="none" w:sz="0" w:space="0" w:color="auto"/>
      </w:divBdr>
    </w:div>
    <w:div w:id="2029986013">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1B8FEA-5A14-48B1-A6E6-4052D8F7B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4</cp:revision>
  <cp:lastPrinted>2007-06-18T22:08:00Z</cp:lastPrinted>
  <dcterms:created xsi:type="dcterms:W3CDTF">2022-01-10T13:00:00Z</dcterms:created>
  <dcterms:modified xsi:type="dcterms:W3CDTF">2022-01-10T15:40:00Z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(3)oz8zrT0XMyYc8GndTlhzymnIRCNQ2pTAd7Abhda1grXV5thntdwpXxyBpXq4tiLuWNMXyv94
EGYrIKg6l0uunlel4XD3pwCZGyvsYXT48r/McL1skV3d3YXQa3T5lciCjqYk3AAf35+uf6qu
kzmW0fsU4PSgEiybuAgH+ODYKxvI8KmdCFrhcY4xfgy0Ipss6UxRIxCbmzVUR3DYv5EfQVDN
/ok/elHDyQNazxEKhQ</vt:lpwstr>
  </property>
  <property fmtid="{D5CDD505-2E9C-101B-9397-08002B2CF9AE}" pid="13" name="_2015_ms_pID_725343_00">
    <vt:lpwstr>_2015_ms_pID_725343</vt:lpwstr>
  </property>
  <property fmtid="{D5CDD505-2E9C-101B-9397-08002B2CF9AE}" pid="14" name="_2015_ms_pID_7253431">
    <vt:lpwstr>0J3UhyMgeu68KJ6oRuv2ibQWImV5m7IgcDniNF3JWhqGWm3+P6a7YI
SPZV5SgPjujgsgbv8rVzsgvOerjj+qJ4YWPUqOjyc7NabU+RjT4yUF3Kf2yHg4TZg0EogP2m
GX+gWiE/lJZZz3yjf7rkMLQunU4lsjVk9KKeLYi1IiLG0yLunSuijQjfDlF7lSWQ9BY0Spt+
Jc1CwJQ+0iSfrofEpIvbUK485O36/Y60xyLz</vt:lpwstr>
  </property>
  <property fmtid="{D5CDD505-2E9C-101B-9397-08002B2CF9AE}" pid="15" name="_2015_ms_pID_7253431_00">
    <vt:lpwstr>_2015_ms_pID_7253431</vt:lpwstr>
  </property>
  <property fmtid="{D5CDD505-2E9C-101B-9397-08002B2CF9AE}" pid="16" name="_2015_ms_pID_7253432">
    <vt:lpwstr>lkW4X1BpyniTytL3a6BZWHmejrw+sMMOzUcM
jHfGxwlGzoYKnMRE6Q2OTshVd/I/cQ==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